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9FFDD" w14:textId="77777777" w:rsidR="00F31261" w:rsidRPr="008E68BA" w:rsidRDefault="00F31261" w:rsidP="008E68BA">
      <w:pPr>
        <w:pStyle w:val="nhstopaddress"/>
        <w:rPr>
          <w:rFonts w:ascii="Arial" w:hAnsi="Arial" w:cs="Arial"/>
          <w:b/>
          <w:szCs w:val="24"/>
          <w:u w:val="single"/>
        </w:rPr>
      </w:pPr>
      <w:r w:rsidRPr="008E68BA">
        <w:rPr>
          <w:rFonts w:ascii="Arial" w:hAnsi="Arial" w:cs="Arial"/>
          <w:b/>
          <w:noProof/>
          <w:szCs w:val="24"/>
          <w:u w:val="single"/>
          <w:lang w:eastAsia="en-GB"/>
        </w:rPr>
        <mc:AlternateContent>
          <mc:Choice Requires="wps">
            <w:drawing>
              <wp:anchor distT="0" distB="0" distL="114300" distR="114300" simplePos="0" relativeHeight="251693568" behindDoc="0" locked="0" layoutInCell="1" allowOverlap="1" wp14:anchorId="42ABA63B" wp14:editId="4E150411">
                <wp:simplePos x="0" y="0"/>
                <wp:positionH relativeFrom="column">
                  <wp:posOffset>5109210</wp:posOffset>
                </wp:positionH>
                <wp:positionV relativeFrom="paragraph">
                  <wp:posOffset>-434340</wp:posOffset>
                </wp:positionV>
                <wp:extent cx="1483360" cy="1104900"/>
                <wp:effectExtent l="0" t="0" r="254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62960" w14:textId="77777777" w:rsidR="00331257" w:rsidRDefault="00331257" w:rsidP="00F31261">
                            <w:r w:rsidRPr="00F84150">
                              <w:rPr>
                                <w:rFonts w:ascii="Arial" w:hAnsi="Arial" w:cs="Arial"/>
                                <w:noProof/>
                                <w:sz w:val="22"/>
                                <w:szCs w:val="22"/>
                              </w:rPr>
                              <w:drawing>
                                <wp:inline distT="0" distB="0" distL="0" distR="0" wp14:anchorId="51AD4803" wp14:editId="7FB070A8">
                                  <wp:extent cx="1152525" cy="904875"/>
                                  <wp:effectExtent l="0" t="0" r="9525" b="9525"/>
                                  <wp:docPr id="29" name="Picture 29" descr="logo_NHSGG&amp;C_dar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dark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04875"/>
                                          </a:xfrm>
                                          <a:prstGeom prst="rect">
                                            <a:avLst/>
                                          </a:prstGeom>
                                          <a:noFill/>
                                          <a:ln>
                                            <a:noFill/>
                                          </a:ln>
                                        </pic:spPr>
                                      </pic:pic>
                                    </a:graphicData>
                                  </a:graphic>
                                </wp:inline>
                              </w:drawing>
                            </w:r>
                          </w:p>
                          <w:p w14:paraId="428E27EF" w14:textId="77777777" w:rsidR="00331257" w:rsidRDefault="00331257" w:rsidP="00F31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ABA63B" id="_x0000_t202" coordsize="21600,21600" o:spt="202" path="m,l,21600r21600,l21600,xe">
                <v:stroke joinstyle="miter"/>
                <v:path gradientshapeok="t" o:connecttype="rect"/>
              </v:shapetype>
              <v:shape id="Text Box 20" o:spid="_x0000_s1026" type="#_x0000_t202" style="position:absolute;left:0;text-align:left;margin-left:402.3pt;margin-top:-34.2pt;width:116.8pt;height:8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nJhAIAABI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" stroked="f">
                <v:textbox>
                  <w:txbxContent>
                    <w:p w14:paraId="35A62960" w14:textId="77777777" w:rsidR="00331257" w:rsidRDefault="00331257" w:rsidP="00F31261">
                      <w:r w:rsidRPr="00F84150">
                        <w:rPr>
                          <w:rFonts w:ascii="Arial" w:hAnsi="Arial" w:cs="Arial"/>
                          <w:noProof/>
                          <w:sz w:val="22"/>
                          <w:szCs w:val="22"/>
                        </w:rPr>
                        <w:drawing>
                          <wp:inline distT="0" distB="0" distL="0" distR="0" wp14:anchorId="51AD4803" wp14:editId="7FB070A8">
                            <wp:extent cx="1152525" cy="904875"/>
                            <wp:effectExtent l="0" t="0" r="9525" b="9525"/>
                            <wp:docPr id="29" name="Picture 29" descr="logo_NHSGG&amp;C_dar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dark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04875"/>
                                    </a:xfrm>
                                    <a:prstGeom prst="rect">
                                      <a:avLst/>
                                    </a:prstGeom>
                                    <a:noFill/>
                                    <a:ln>
                                      <a:noFill/>
                                    </a:ln>
                                  </pic:spPr>
                                </pic:pic>
                              </a:graphicData>
                            </a:graphic>
                          </wp:inline>
                        </w:drawing>
                      </w:r>
                    </w:p>
                    <w:p w14:paraId="428E27EF" w14:textId="77777777" w:rsidR="00331257" w:rsidRDefault="00331257" w:rsidP="00F31261"/>
                  </w:txbxContent>
                </v:textbox>
              </v:shape>
            </w:pict>
          </mc:Fallback>
        </mc:AlternateContent>
      </w:r>
    </w:p>
    <w:p w14:paraId="5149B50C" w14:textId="77777777" w:rsidR="00F31261" w:rsidRPr="008E68BA" w:rsidRDefault="00F31261" w:rsidP="008E68BA">
      <w:pPr>
        <w:pStyle w:val="nhstopaddress"/>
        <w:rPr>
          <w:rFonts w:ascii="Arial" w:hAnsi="Arial" w:cs="Arial"/>
          <w:b/>
          <w:szCs w:val="24"/>
          <w:u w:val="single"/>
        </w:rPr>
      </w:pPr>
    </w:p>
    <w:p w14:paraId="13B37F8E" w14:textId="77777777" w:rsidR="00F31261" w:rsidRPr="008E68BA" w:rsidRDefault="00F31261" w:rsidP="008E68BA">
      <w:pPr>
        <w:pStyle w:val="nhstopaddress"/>
        <w:rPr>
          <w:rFonts w:ascii="Arial" w:hAnsi="Arial" w:cs="Arial"/>
          <w:b/>
          <w:szCs w:val="24"/>
          <w:u w:val="single"/>
        </w:rPr>
      </w:pPr>
    </w:p>
    <w:tbl>
      <w:tblPr>
        <w:tblpPr w:leftFromText="180" w:rightFromText="180" w:vertAnchor="page" w:horzAnchor="margin" w:tblpY="277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379"/>
      </w:tblGrid>
      <w:tr w:rsidR="00F31261" w:rsidRPr="008E68BA" w14:paraId="16627F43" w14:textId="77777777" w:rsidTr="00F31261">
        <w:tc>
          <w:tcPr>
            <w:tcW w:w="3510" w:type="dxa"/>
          </w:tcPr>
          <w:p w14:paraId="6831172B" w14:textId="77777777" w:rsidR="00F31261" w:rsidRPr="008E68BA" w:rsidRDefault="00F31261" w:rsidP="008E68BA">
            <w:pPr>
              <w:pStyle w:val="Heading2"/>
              <w:spacing w:before="0"/>
              <w:rPr>
                <w:rFonts w:ascii="Arial" w:hAnsi="Arial" w:cs="Arial"/>
                <w:i/>
                <w:color w:val="auto"/>
                <w:sz w:val="24"/>
                <w:szCs w:val="24"/>
              </w:rPr>
            </w:pPr>
            <w:r w:rsidRPr="008E68BA">
              <w:rPr>
                <w:rFonts w:ascii="Arial" w:hAnsi="Arial" w:cs="Arial"/>
                <w:color w:val="auto"/>
                <w:sz w:val="24"/>
                <w:szCs w:val="24"/>
              </w:rPr>
              <w:t xml:space="preserve">NHS Greater Glasgow and Clyde </w:t>
            </w:r>
          </w:p>
          <w:p w14:paraId="3E52A962" w14:textId="77777777" w:rsidR="00F31261" w:rsidRPr="008E68BA" w:rsidRDefault="00F31261" w:rsidP="008E68BA">
            <w:pPr>
              <w:pStyle w:val="nhstopaddress"/>
              <w:rPr>
                <w:rFonts w:ascii="Arial" w:hAnsi="Arial" w:cs="Arial"/>
                <w:b/>
                <w:szCs w:val="24"/>
              </w:rPr>
            </w:pPr>
          </w:p>
        </w:tc>
        <w:tc>
          <w:tcPr>
            <w:tcW w:w="6379" w:type="dxa"/>
          </w:tcPr>
          <w:p w14:paraId="0438E980" w14:textId="427EE709" w:rsidR="00F31261" w:rsidRPr="008E68BA" w:rsidRDefault="00F31261" w:rsidP="008E68BA">
            <w:pPr>
              <w:pStyle w:val="nhstopaddress"/>
              <w:rPr>
                <w:rFonts w:ascii="Arial" w:hAnsi="Arial" w:cs="Arial"/>
                <w:b/>
                <w:szCs w:val="24"/>
              </w:rPr>
            </w:pPr>
            <w:r w:rsidRPr="008E68BA">
              <w:rPr>
                <w:rFonts w:ascii="Arial" w:hAnsi="Arial" w:cs="Arial"/>
                <w:b/>
                <w:szCs w:val="24"/>
              </w:rPr>
              <w:t xml:space="preserve">Paper No. </w:t>
            </w:r>
            <w:r w:rsidR="008E68BA" w:rsidRPr="008E68BA">
              <w:rPr>
                <w:rFonts w:ascii="Arial" w:hAnsi="Arial" w:cs="Arial"/>
                <w:b/>
                <w:szCs w:val="24"/>
              </w:rPr>
              <w:t>21/84</w:t>
            </w:r>
          </w:p>
        </w:tc>
      </w:tr>
      <w:tr w:rsidR="0048779B" w:rsidRPr="008E68BA" w14:paraId="2C9C6FCB" w14:textId="77777777" w:rsidTr="00F31261">
        <w:tc>
          <w:tcPr>
            <w:tcW w:w="3510" w:type="dxa"/>
          </w:tcPr>
          <w:p w14:paraId="5BB8E3D0" w14:textId="77777777" w:rsidR="0048779B" w:rsidRPr="008E68BA" w:rsidRDefault="0048779B" w:rsidP="008E68BA">
            <w:pPr>
              <w:pStyle w:val="nhstopaddress"/>
              <w:rPr>
                <w:rFonts w:ascii="Arial" w:hAnsi="Arial" w:cs="Arial"/>
                <w:b/>
                <w:szCs w:val="24"/>
              </w:rPr>
            </w:pPr>
            <w:r w:rsidRPr="008E68BA">
              <w:rPr>
                <w:rFonts w:ascii="Arial" w:hAnsi="Arial" w:cs="Arial"/>
                <w:b/>
                <w:szCs w:val="24"/>
              </w:rPr>
              <w:t>Meeting:</w:t>
            </w:r>
          </w:p>
        </w:tc>
        <w:tc>
          <w:tcPr>
            <w:tcW w:w="6379" w:type="dxa"/>
          </w:tcPr>
          <w:p w14:paraId="5F087E6C" w14:textId="38526764" w:rsidR="0048779B" w:rsidRPr="008E68BA" w:rsidRDefault="00DE2FE8" w:rsidP="008E68BA">
            <w:pPr>
              <w:pStyle w:val="nhstopaddress"/>
              <w:rPr>
                <w:rFonts w:ascii="Arial" w:hAnsi="Arial" w:cs="Arial"/>
                <w:b/>
                <w:szCs w:val="24"/>
              </w:rPr>
            </w:pPr>
            <w:r w:rsidRPr="008E68BA">
              <w:rPr>
                <w:rFonts w:ascii="Arial" w:hAnsi="Arial" w:cs="Arial"/>
                <w:b/>
                <w:szCs w:val="24"/>
              </w:rPr>
              <w:t xml:space="preserve">NHS Board </w:t>
            </w:r>
          </w:p>
          <w:p w14:paraId="63E6E999" w14:textId="77777777" w:rsidR="00CF0A26" w:rsidRPr="008E68BA" w:rsidRDefault="00CF0A26" w:rsidP="008E68BA">
            <w:pPr>
              <w:pStyle w:val="nhstopaddress"/>
              <w:rPr>
                <w:rFonts w:ascii="Arial" w:hAnsi="Arial" w:cs="Arial"/>
                <w:b/>
                <w:szCs w:val="24"/>
              </w:rPr>
            </w:pPr>
          </w:p>
        </w:tc>
      </w:tr>
      <w:tr w:rsidR="0048779B" w:rsidRPr="008E68BA" w14:paraId="6B5DD2D5" w14:textId="77777777" w:rsidTr="00F31261">
        <w:tc>
          <w:tcPr>
            <w:tcW w:w="3510" w:type="dxa"/>
          </w:tcPr>
          <w:p w14:paraId="08799717" w14:textId="77777777" w:rsidR="0048779B" w:rsidRPr="008E68BA" w:rsidRDefault="0048779B" w:rsidP="008E68BA">
            <w:pPr>
              <w:pStyle w:val="nhstopaddress"/>
              <w:rPr>
                <w:rFonts w:ascii="Arial" w:hAnsi="Arial" w:cs="Arial"/>
                <w:b/>
                <w:szCs w:val="24"/>
              </w:rPr>
            </w:pPr>
            <w:r w:rsidRPr="008E68BA">
              <w:rPr>
                <w:rFonts w:ascii="Arial" w:hAnsi="Arial" w:cs="Arial"/>
                <w:b/>
                <w:szCs w:val="24"/>
              </w:rPr>
              <w:t xml:space="preserve">Meeting Date: </w:t>
            </w:r>
          </w:p>
        </w:tc>
        <w:tc>
          <w:tcPr>
            <w:tcW w:w="6379" w:type="dxa"/>
          </w:tcPr>
          <w:p w14:paraId="3BA606C0" w14:textId="7DF11D72" w:rsidR="00CF0A26" w:rsidRPr="008E68BA" w:rsidRDefault="00DE2FE8" w:rsidP="008E68BA">
            <w:pPr>
              <w:pStyle w:val="nhstopaddress"/>
              <w:rPr>
                <w:rFonts w:ascii="Arial" w:hAnsi="Arial" w:cs="Arial"/>
                <w:b/>
                <w:szCs w:val="24"/>
              </w:rPr>
            </w:pPr>
            <w:r w:rsidRPr="008E68BA">
              <w:rPr>
                <w:rFonts w:ascii="Arial" w:hAnsi="Arial" w:cs="Arial"/>
                <w:b/>
                <w:szCs w:val="24"/>
              </w:rPr>
              <w:t>21</w:t>
            </w:r>
            <w:r w:rsidR="009E307C" w:rsidRPr="008E68BA">
              <w:rPr>
                <w:rFonts w:ascii="Arial" w:hAnsi="Arial" w:cs="Arial"/>
                <w:b/>
                <w:szCs w:val="24"/>
              </w:rPr>
              <w:t>/12/2021</w:t>
            </w:r>
          </w:p>
        </w:tc>
      </w:tr>
      <w:tr w:rsidR="00F31261" w:rsidRPr="008E68BA" w14:paraId="05C67941" w14:textId="77777777" w:rsidTr="00F31261">
        <w:tc>
          <w:tcPr>
            <w:tcW w:w="3510" w:type="dxa"/>
          </w:tcPr>
          <w:p w14:paraId="096E227A" w14:textId="77777777" w:rsidR="00F31261" w:rsidRPr="008E68BA" w:rsidRDefault="00F31261" w:rsidP="008E68BA">
            <w:pPr>
              <w:pStyle w:val="nhstopaddress"/>
              <w:rPr>
                <w:rFonts w:ascii="Arial" w:hAnsi="Arial" w:cs="Arial"/>
                <w:b/>
                <w:szCs w:val="24"/>
              </w:rPr>
            </w:pPr>
            <w:r w:rsidRPr="008E68BA">
              <w:rPr>
                <w:rFonts w:ascii="Arial" w:hAnsi="Arial" w:cs="Arial"/>
                <w:b/>
                <w:szCs w:val="24"/>
              </w:rPr>
              <w:t>Title:</w:t>
            </w:r>
          </w:p>
          <w:p w14:paraId="612D67C7" w14:textId="77777777" w:rsidR="00F31261" w:rsidRPr="008E68BA" w:rsidRDefault="00F31261" w:rsidP="008E68BA">
            <w:pPr>
              <w:pStyle w:val="nhstopaddress"/>
              <w:rPr>
                <w:rFonts w:ascii="Arial" w:hAnsi="Arial" w:cs="Arial"/>
                <w:b/>
                <w:szCs w:val="24"/>
              </w:rPr>
            </w:pPr>
          </w:p>
        </w:tc>
        <w:tc>
          <w:tcPr>
            <w:tcW w:w="6379" w:type="dxa"/>
          </w:tcPr>
          <w:p w14:paraId="25F325BF" w14:textId="7CE44FFB" w:rsidR="00F31261" w:rsidRPr="008E68BA" w:rsidRDefault="00D76B52" w:rsidP="008E68BA">
            <w:pPr>
              <w:pStyle w:val="nhstopaddress"/>
              <w:rPr>
                <w:rFonts w:ascii="Arial" w:hAnsi="Arial" w:cs="Arial"/>
                <w:b/>
                <w:szCs w:val="24"/>
              </w:rPr>
            </w:pPr>
            <w:r w:rsidRPr="008E68BA">
              <w:rPr>
                <w:rFonts w:ascii="Arial" w:hAnsi="Arial" w:cs="Arial"/>
                <w:b/>
                <w:szCs w:val="24"/>
              </w:rPr>
              <w:t xml:space="preserve">Summary of </w:t>
            </w:r>
            <w:r w:rsidR="00F31261" w:rsidRPr="008E68BA">
              <w:rPr>
                <w:rFonts w:ascii="Arial" w:hAnsi="Arial" w:cs="Arial"/>
                <w:b/>
                <w:szCs w:val="24"/>
              </w:rPr>
              <w:t xml:space="preserve">The Healthcare Associated Infection Reporting Template (HAIRT) for </w:t>
            </w:r>
            <w:r w:rsidR="000454E5" w:rsidRPr="008E68BA">
              <w:rPr>
                <w:rFonts w:ascii="Arial" w:hAnsi="Arial" w:cs="Arial"/>
                <w:b/>
                <w:color w:val="C00000"/>
                <w:szCs w:val="24"/>
              </w:rPr>
              <w:t xml:space="preserve"> </w:t>
            </w:r>
            <w:r w:rsidR="000454E5" w:rsidRPr="008E68BA">
              <w:rPr>
                <w:rFonts w:ascii="Arial" w:hAnsi="Arial" w:cs="Arial"/>
                <w:b/>
                <w:color w:val="000000" w:themeColor="text1"/>
                <w:szCs w:val="24"/>
              </w:rPr>
              <w:t xml:space="preserve">September and October </w:t>
            </w:r>
            <w:r w:rsidR="00F31261" w:rsidRPr="008E68BA">
              <w:rPr>
                <w:rFonts w:ascii="Arial" w:hAnsi="Arial" w:cs="Arial"/>
                <w:b/>
                <w:szCs w:val="24"/>
              </w:rPr>
              <w:t>2021</w:t>
            </w:r>
          </w:p>
          <w:p w14:paraId="7BFBCBCD" w14:textId="77777777" w:rsidR="00F31261" w:rsidRPr="008E68BA" w:rsidRDefault="00F31261" w:rsidP="008E68BA">
            <w:pPr>
              <w:pStyle w:val="nhstopaddress"/>
              <w:rPr>
                <w:rFonts w:ascii="Arial" w:hAnsi="Arial" w:cs="Arial"/>
                <w:b/>
                <w:szCs w:val="24"/>
              </w:rPr>
            </w:pPr>
          </w:p>
        </w:tc>
      </w:tr>
      <w:tr w:rsidR="00F31261" w:rsidRPr="008E68BA" w14:paraId="2AF54934" w14:textId="77777777" w:rsidTr="00F31261">
        <w:trPr>
          <w:trHeight w:val="465"/>
        </w:trPr>
        <w:tc>
          <w:tcPr>
            <w:tcW w:w="3510" w:type="dxa"/>
          </w:tcPr>
          <w:p w14:paraId="2A2656CE" w14:textId="77777777" w:rsidR="00F31261" w:rsidRPr="008E68BA" w:rsidRDefault="00F31261" w:rsidP="008E68BA">
            <w:pPr>
              <w:pStyle w:val="nhstopaddress"/>
              <w:rPr>
                <w:rFonts w:ascii="Arial" w:hAnsi="Arial" w:cs="Arial"/>
                <w:b/>
                <w:szCs w:val="24"/>
              </w:rPr>
            </w:pPr>
            <w:r w:rsidRPr="008E68BA">
              <w:rPr>
                <w:rFonts w:ascii="Arial" w:hAnsi="Arial" w:cs="Arial"/>
                <w:b/>
                <w:szCs w:val="24"/>
              </w:rPr>
              <w:t>Sponsoring Director/Manager</w:t>
            </w:r>
          </w:p>
          <w:p w14:paraId="1BDCEC6A" w14:textId="77777777" w:rsidR="00F31261" w:rsidRPr="008E68BA" w:rsidRDefault="00F31261" w:rsidP="008E68BA">
            <w:pPr>
              <w:pStyle w:val="nhstopaddress"/>
              <w:rPr>
                <w:rFonts w:ascii="Arial" w:hAnsi="Arial" w:cs="Arial"/>
                <w:b/>
                <w:szCs w:val="24"/>
              </w:rPr>
            </w:pPr>
          </w:p>
        </w:tc>
        <w:tc>
          <w:tcPr>
            <w:tcW w:w="6379" w:type="dxa"/>
          </w:tcPr>
          <w:p w14:paraId="05664E3E" w14:textId="77777777" w:rsidR="00F31261" w:rsidRPr="008E68BA" w:rsidRDefault="00F31261" w:rsidP="008E68BA">
            <w:pPr>
              <w:tabs>
                <w:tab w:val="left" w:pos="1872"/>
              </w:tabs>
              <w:rPr>
                <w:rFonts w:ascii="Arial" w:hAnsi="Arial" w:cs="Arial"/>
                <w:b/>
                <w:lang w:eastAsia="en-US"/>
              </w:rPr>
            </w:pPr>
            <w:r w:rsidRPr="008E68BA">
              <w:rPr>
                <w:rFonts w:ascii="Arial" w:hAnsi="Arial" w:cs="Arial"/>
                <w:b/>
                <w:lang w:eastAsia="en-US"/>
              </w:rPr>
              <w:t>Professor Angela Wallace, Executive Director Infection Prevention and Control</w:t>
            </w:r>
          </w:p>
          <w:p w14:paraId="40D448AF" w14:textId="77777777" w:rsidR="00F31261" w:rsidRPr="008E68BA" w:rsidRDefault="00F31261" w:rsidP="008E68BA">
            <w:pPr>
              <w:tabs>
                <w:tab w:val="left" w:pos="1872"/>
              </w:tabs>
              <w:rPr>
                <w:rFonts w:ascii="Arial" w:hAnsi="Arial" w:cs="Arial"/>
                <w:b/>
                <w:lang w:eastAsia="en-US"/>
              </w:rPr>
            </w:pPr>
          </w:p>
        </w:tc>
      </w:tr>
      <w:tr w:rsidR="00F31261" w:rsidRPr="008E68BA" w14:paraId="0F91E4ED" w14:textId="77777777" w:rsidTr="00F31261">
        <w:tc>
          <w:tcPr>
            <w:tcW w:w="3510" w:type="dxa"/>
          </w:tcPr>
          <w:p w14:paraId="1F060B63" w14:textId="77777777" w:rsidR="00F31261" w:rsidRPr="008E68BA" w:rsidRDefault="00F31261" w:rsidP="008E68BA">
            <w:pPr>
              <w:pStyle w:val="nhstopaddress"/>
              <w:rPr>
                <w:rFonts w:ascii="Arial" w:hAnsi="Arial" w:cs="Arial"/>
                <w:b/>
                <w:szCs w:val="24"/>
              </w:rPr>
            </w:pPr>
            <w:r w:rsidRPr="008E68BA">
              <w:rPr>
                <w:rFonts w:ascii="Arial" w:hAnsi="Arial" w:cs="Arial"/>
                <w:b/>
                <w:szCs w:val="24"/>
              </w:rPr>
              <w:t>Report Author:</w:t>
            </w:r>
          </w:p>
          <w:p w14:paraId="45EF90FB" w14:textId="77777777" w:rsidR="00F31261" w:rsidRPr="008E68BA" w:rsidRDefault="00F31261" w:rsidP="008E68BA">
            <w:pPr>
              <w:pStyle w:val="nhstopaddress"/>
              <w:rPr>
                <w:rFonts w:ascii="Arial" w:hAnsi="Arial" w:cs="Arial"/>
                <w:b/>
                <w:szCs w:val="24"/>
              </w:rPr>
            </w:pPr>
          </w:p>
        </w:tc>
        <w:tc>
          <w:tcPr>
            <w:tcW w:w="6379" w:type="dxa"/>
          </w:tcPr>
          <w:p w14:paraId="1299D9FC" w14:textId="77777777" w:rsidR="00F31261" w:rsidRPr="008E68BA" w:rsidRDefault="00F31261" w:rsidP="008E68BA">
            <w:pPr>
              <w:tabs>
                <w:tab w:val="left" w:pos="1872"/>
              </w:tabs>
              <w:rPr>
                <w:rFonts w:ascii="Arial" w:hAnsi="Arial" w:cs="Arial"/>
                <w:b/>
                <w:lang w:eastAsia="en-US"/>
              </w:rPr>
            </w:pPr>
            <w:r w:rsidRPr="008E68BA">
              <w:rPr>
                <w:rFonts w:ascii="Arial" w:hAnsi="Arial" w:cs="Arial"/>
                <w:b/>
                <w:lang w:eastAsia="en-US"/>
              </w:rPr>
              <w:t>Mrs Sandra Devine, Interim Infection Pr</w:t>
            </w:r>
            <w:r w:rsidR="00FD35EF" w:rsidRPr="008E68BA">
              <w:rPr>
                <w:rFonts w:ascii="Arial" w:hAnsi="Arial" w:cs="Arial"/>
                <w:b/>
                <w:lang w:eastAsia="en-US"/>
              </w:rPr>
              <w:t xml:space="preserve">evention and Control Manager </w:t>
            </w:r>
          </w:p>
          <w:p w14:paraId="334C4222" w14:textId="77777777" w:rsidR="00F31261" w:rsidRPr="008E68BA" w:rsidRDefault="00F31261" w:rsidP="008E68BA">
            <w:pPr>
              <w:tabs>
                <w:tab w:val="left" w:pos="1872"/>
              </w:tabs>
              <w:spacing w:before="120"/>
              <w:ind w:left="34"/>
              <w:rPr>
                <w:rFonts w:ascii="Arial" w:hAnsi="Arial" w:cs="Arial"/>
                <w:b/>
              </w:rPr>
            </w:pPr>
          </w:p>
        </w:tc>
      </w:tr>
    </w:tbl>
    <w:p w14:paraId="6B081204" w14:textId="77777777" w:rsidR="00F31261" w:rsidRPr="008E68BA" w:rsidRDefault="00F31261" w:rsidP="008E68BA">
      <w:pPr>
        <w:rPr>
          <w:rFonts w:ascii="Arial" w:hAnsi="Arial" w:cs="Arial"/>
          <w:b/>
          <w:u w:val="single"/>
        </w:rPr>
      </w:pPr>
    </w:p>
    <w:p w14:paraId="2FA80CF4" w14:textId="77777777" w:rsidR="00F31261" w:rsidRPr="008E68BA" w:rsidRDefault="00F31261" w:rsidP="008E68BA">
      <w:pPr>
        <w:rPr>
          <w:rFonts w:ascii="Arial" w:hAnsi="Arial" w:cs="Arial"/>
          <w:b/>
          <w:u w:val="single"/>
        </w:rPr>
      </w:pPr>
    </w:p>
    <w:p w14:paraId="5D05BCE3" w14:textId="77777777" w:rsidR="00F31261" w:rsidRPr="008E68BA" w:rsidRDefault="00F31261" w:rsidP="008E68BA">
      <w:pPr>
        <w:ind w:left="720"/>
        <w:rPr>
          <w:rFonts w:ascii="Arial" w:hAnsi="Arial" w:cs="Arial"/>
          <w:b/>
        </w:rPr>
      </w:pPr>
    </w:p>
    <w:p w14:paraId="402C3EE9" w14:textId="77777777" w:rsidR="006B40AA" w:rsidRPr="008E68BA" w:rsidRDefault="006B40AA" w:rsidP="008E68BA">
      <w:pPr>
        <w:ind w:left="720"/>
        <w:rPr>
          <w:rFonts w:ascii="Arial" w:hAnsi="Arial" w:cs="Arial"/>
          <w:b/>
        </w:rPr>
      </w:pPr>
    </w:p>
    <w:p w14:paraId="5C97FBD0" w14:textId="77777777" w:rsidR="00C21CEC" w:rsidRPr="008E68BA" w:rsidRDefault="00C21CEC" w:rsidP="008E68BA">
      <w:pPr>
        <w:ind w:left="360"/>
        <w:rPr>
          <w:rFonts w:ascii="Arial" w:hAnsi="Arial" w:cs="Arial"/>
          <w:b/>
        </w:rPr>
      </w:pPr>
    </w:p>
    <w:p w14:paraId="7C764071" w14:textId="77777777" w:rsidR="00F31261" w:rsidRPr="008E68BA" w:rsidRDefault="00F31261" w:rsidP="008E68BA">
      <w:pPr>
        <w:numPr>
          <w:ilvl w:val="0"/>
          <w:numId w:val="21"/>
        </w:numPr>
        <w:ind w:left="360"/>
        <w:rPr>
          <w:rFonts w:ascii="Arial" w:hAnsi="Arial" w:cs="Arial"/>
          <w:b/>
        </w:rPr>
      </w:pPr>
      <w:r w:rsidRPr="008E68BA">
        <w:rPr>
          <w:rFonts w:ascii="Arial" w:hAnsi="Arial" w:cs="Arial"/>
          <w:b/>
        </w:rPr>
        <w:t xml:space="preserve">Purpose </w:t>
      </w:r>
    </w:p>
    <w:p w14:paraId="5F931A0C" w14:textId="77777777" w:rsidR="00F31261" w:rsidRPr="008E68BA" w:rsidRDefault="00F31261" w:rsidP="008E68BA">
      <w:pPr>
        <w:rPr>
          <w:rFonts w:ascii="Arial" w:hAnsi="Arial" w:cs="Arial"/>
          <w:b/>
        </w:rPr>
      </w:pPr>
    </w:p>
    <w:p w14:paraId="295B26E3" w14:textId="7AAB8EAE" w:rsidR="00F31261" w:rsidRPr="008E68BA" w:rsidRDefault="00F31261" w:rsidP="008E68BA">
      <w:pPr>
        <w:ind w:right="141"/>
        <w:rPr>
          <w:rFonts w:ascii="Arial" w:hAnsi="Arial" w:cs="Arial"/>
          <w:lang w:eastAsia="en-US"/>
        </w:rPr>
      </w:pPr>
      <w:r w:rsidRPr="008E68BA">
        <w:rPr>
          <w:rFonts w:ascii="Arial" w:hAnsi="Arial" w:cs="Arial"/>
          <w:lang w:eastAsia="en-US"/>
        </w:rPr>
        <w:t xml:space="preserve">The Healthcare Associated Infection Reporting Template (HAIRT) is a mandatory reporting tool for the Board to have </w:t>
      </w:r>
      <w:r w:rsidR="00410A37" w:rsidRPr="008E68BA">
        <w:rPr>
          <w:rFonts w:ascii="Arial" w:hAnsi="Arial" w:cs="Arial"/>
          <w:lang w:eastAsia="en-US"/>
        </w:rPr>
        <w:t xml:space="preserve">an </w:t>
      </w:r>
      <w:r w:rsidRPr="008E68BA">
        <w:rPr>
          <w:rFonts w:ascii="Arial" w:hAnsi="Arial" w:cs="Arial"/>
          <w:lang w:eastAsia="en-US"/>
        </w:rPr>
        <w:t>oversight of the Healthcare Associated targets (</w:t>
      </w:r>
      <w:r w:rsidRPr="008E68BA">
        <w:rPr>
          <w:rFonts w:ascii="Arial" w:hAnsi="Arial" w:cs="Arial"/>
          <w:i/>
          <w:lang w:eastAsia="en-US"/>
        </w:rPr>
        <w:t>Staphylococcus aureus</w:t>
      </w:r>
      <w:r w:rsidRPr="008E68BA">
        <w:rPr>
          <w:rFonts w:ascii="Arial" w:hAnsi="Arial" w:cs="Arial"/>
          <w:lang w:eastAsia="en-US"/>
        </w:rPr>
        <w:t xml:space="preserve"> </w:t>
      </w:r>
      <w:proofErr w:type="spellStart"/>
      <w:r w:rsidRPr="008E68BA">
        <w:rPr>
          <w:rFonts w:ascii="Arial" w:hAnsi="Arial" w:cs="Arial"/>
          <w:lang w:eastAsia="en-US"/>
        </w:rPr>
        <w:t>bacteraemias</w:t>
      </w:r>
      <w:proofErr w:type="spellEnd"/>
      <w:r w:rsidRPr="008E68BA">
        <w:rPr>
          <w:rFonts w:ascii="Arial" w:hAnsi="Arial" w:cs="Arial"/>
          <w:lang w:eastAsia="en-US"/>
        </w:rPr>
        <w:t xml:space="preserve"> (SAB), </w:t>
      </w:r>
      <w:proofErr w:type="spellStart"/>
      <w:r w:rsidRPr="008E68BA">
        <w:rPr>
          <w:rFonts w:ascii="Arial" w:hAnsi="Arial" w:cs="Arial"/>
          <w:i/>
          <w:lang w:eastAsia="en-US"/>
        </w:rPr>
        <w:t>Clostridioides</w:t>
      </w:r>
      <w:proofErr w:type="spellEnd"/>
      <w:r w:rsidRPr="008E68BA">
        <w:rPr>
          <w:rFonts w:ascii="Arial" w:hAnsi="Arial" w:cs="Arial"/>
          <w:i/>
          <w:lang w:eastAsia="en-US"/>
        </w:rPr>
        <w:t xml:space="preserve"> difficile</w:t>
      </w:r>
      <w:r w:rsidRPr="008E68BA">
        <w:rPr>
          <w:rFonts w:ascii="Arial" w:hAnsi="Arial" w:cs="Arial"/>
          <w:lang w:eastAsia="en-US"/>
        </w:rPr>
        <w:t xml:space="preserve"> infections (CDI), </w:t>
      </w:r>
      <w:r w:rsidRPr="008E68BA">
        <w:rPr>
          <w:rFonts w:ascii="Arial" w:hAnsi="Arial" w:cs="Arial"/>
          <w:i/>
          <w:lang w:eastAsia="en-US"/>
        </w:rPr>
        <w:t>E. coli</w:t>
      </w:r>
      <w:r w:rsidRPr="008E68BA">
        <w:rPr>
          <w:rFonts w:ascii="Arial" w:hAnsi="Arial" w:cs="Arial"/>
          <w:lang w:eastAsia="en-US"/>
        </w:rPr>
        <w:t xml:space="preserve"> </w:t>
      </w:r>
      <w:proofErr w:type="spellStart"/>
      <w:r w:rsidRPr="008E68BA">
        <w:rPr>
          <w:rFonts w:ascii="Arial" w:hAnsi="Arial" w:cs="Arial"/>
          <w:lang w:eastAsia="en-US"/>
        </w:rPr>
        <w:t>bacteraemias</w:t>
      </w:r>
      <w:proofErr w:type="spellEnd"/>
      <w:r w:rsidRPr="008E68BA">
        <w:rPr>
          <w:rFonts w:ascii="Arial" w:hAnsi="Arial" w:cs="Arial"/>
          <w:lang w:eastAsia="en-US"/>
        </w:rPr>
        <w:t xml:space="preserve"> (ECB), incidents and outbreaks and all other</w:t>
      </w:r>
      <w:r w:rsidR="00410A37" w:rsidRPr="008E68BA">
        <w:rPr>
          <w:rFonts w:ascii="Arial" w:hAnsi="Arial" w:cs="Arial"/>
          <w:lang w:eastAsia="en-US"/>
        </w:rPr>
        <w:t xml:space="preserve"> </w:t>
      </w:r>
      <w:r w:rsidR="00C21CEC" w:rsidRPr="008E68BA">
        <w:rPr>
          <w:rFonts w:ascii="Arial" w:hAnsi="Arial" w:cs="Arial"/>
          <w:lang w:eastAsia="en-US"/>
        </w:rPr>
        <w:t>Healthcare Associated Infections’</w:t>
      </w:r>
      <w:r w:rsidR="00410A37" w:rsidRPr="008E68BA">
        <w:rPr>
          <w:rFonts w:ascii="Arial" w:hAnsi="Arial" w:cs="Arial"/>
          <w:lang w:eastAsia="en-US"/>
        </w:rPr>
        <w:t xml:space="preserve"> (</w:t>
      </w:r>
      <w:r w:rsidRPr="008E68BA">
        <w:rPr>
          <w:rFonts w:ascii="Arial" w:hAnsi="Arial" w:cs="Arial"/>
          <w:lang w:eastAsia="en-US"/>
        </w:rPr>
        <w:t>HCAI</w:t>
      </w:r>
      <w:r w:rsidR="00410A37" w:rsidRPr="008E68BA">
        <w:rPr>
          <w:rFonts w:ascii="Arial" w:hAnsi="Arial" w:cs="Arial"/>
          <w:lang w:eastAsia="en-US"/>
        </w:rPr>
        <w:t>)</w:t>
      </w:r>
      <w:r w:rsidRPr="008E68BA">
        <w:rPr>
          <w:rFonts w:ascii="Arial" w:hAnsi="Arial" w:cs="Arial"/>
          <w:lang w:eastAsia="en-US"/>
        </w:rPr>
        <w:t xml:space="preserve"> activities across NHS Greater Glasgow &amp; Clyde (NHSGGC)</w:t>
      </w:r>
      <w:r w:rsidR="00FD35EF" w:rsidRPr="008E68BA">
        <w:rPr>
          <w:rFonts w:ascii="Arial" w:hAnsi="Arial" w:cs="Arial"/>
          <w:lang w:eastAsia="en-US"/>
        </w:rPr>
        <w:t xml:space="preserve"> over the </w:t>
      </w:r>
      <w:r w:rsidR="00FF68C9" w:rsidRPr="008E68BA">
        <w:rPr>
          <w:rFonts w:ascii="Arial" w:hAnsi="Arial" w:cs="Arial"/>
          <w:lang w:eastAsia="en-US"/>
        </w:rPr>
        <w:t>September and October</w:t>
      </w:r>
      <w:r w:rsidRPr="008E68BA">
        <w:rPr>
          <w:rFonts w:ascii="Arial" w:hAnsi="Arial" w:cs="Arial"/>
          <w:lang w:eastAsia="en-US"/>
        </w:rPr>
        <w:t xml:space="preserve"> 2021</w:t>
      </w:r>
      <w:r w:rsidR="00410A37" w:rsidRPr="008E68BA">
        <w:rPr>
          <w:rFonts w:ascii="Arial" w:hAnsi="Arial" w:cs="Arial"/>
          <w:lang w:eastAsia="en-US"/>
        </w:rPr>
        <w:t xml:space="preserve"> period</w:t>
      </w:r>
      <w:r w:rsidRPr="008E68BA">
        <w:rPr>
          <w:rFonts w:ascii="Arial" w:hAnsi="Arial" w:cs="Arial"/>
          <w:lang w:eastAsia="en-US"/>
        </w:rPr>
        <w:t xml:space="preserve">.  </w:t>
      </w:r>
    </w:p>
    <w:p w14:paraId="28EF94DA" w14:textId="77777777" w:rsidR="00F31261" w:rsidRPr="008E68BA" w:rsidRDefault="00F31261" w:rsidP="008E68BA">
      <w:pPr>
        <w:ind w:right="141"/>
        <w:rPr>
          <w:rFonts w:ascii="Arial" w:hAnsi="Arial" w:cs="Arial"/>
        </w:rPr>
      </w:pPr>
    </w:p>
    <w:p w14:paraId="0A2E467E" w14:textId="0BC40AFD" w:rsidR="00F31261" w:rsidRPr="008E68BA" w:rsidRDefault="00F31261" w:rsidP="008E68BA">
      <w:pPr>
        <w:ind w:right="141"/>
        <w:rPr>
          <w:rFonts w:ascii="Arial" w:hAnsi="Arial" w:cs="Arial"/>
          <w:lang w:eastAsia="en-US"/>
        </w:rPr>
      </w:pPr>
      <w:r w:rsidRPr="008E68BA">
        <w:rPr>
          <w:rFonts w:ascii="Arial" w:hAnsi="Arial" w:cs="Arial"/>
        </w:rPr>
        <w:t>The full HAIRT will now be considered by the Clinical and Care Governance committee on an ongoing basis</w:t>
      </w:r>
      <w:r w:rsidR="004B309F" w:rsidRPr="008E68BA">
        <w:rPr>
          <w:rFonts w:ascii="Arial" w:hAnsi="Arial" w:cs="Arial"/>
        </w:rPr>
        <w:t xml:space="preserve"> with a summary </w:t>
      </w:r>
      <w:r w:rsidR="00D76B52" w:rsidRPr="008E68BA">
        <w:rPr>
          <w:rFonts w:ascii="Arial" w:hAnsi="Arial" w:cs="Arial"/>
        </w:rPr>
        <w:t xml:space="preserve">(this) </w:t>
      </w:r>
      <w:r w:rsidR="004B309F" w:rsidRPr="008E68BA">
        <w:rPr>
          <w:rFonts w:ascii="Arial" w:hAnsi="Arial" w:cs="Arial"/>
        </w:rPr>
        <w:t>being submitted to the NHS Board meeting</w:t>
      </w:r>
      <w:r w:rsidRPr="008E68BA">
        <w:rPr>
          <w:rFonts w:ascii="Arial" w:hAnsi="Arial" w:cs="Arial"/>
        </w:rPr>
        <w:t>.</w:t>
      </w:r>
    </w:p>
    <w:p w14:paraId="2C52F457" w14:textId="77777777" w:rsidR="00F31261" w:rsidRPr="008E68BA" w:rsidRDefault="00F31261" w:rsidP="008E68BA">
      <w:pPr>
        <w:rPr>
          <w:rFonts w:ascii="Arial" w:hAnsi="Arial" w:cs="Arial"/>
        </w:rPr>
      </w:pPr>
    </w:p>
    <w:p w14:paraId="057479A9" w14:textId="77777777" w:rsidR="00F31261" w:rsidRPr="008E68BA" w:rsidRDefault="00F31261" w:rsidP="008E68BA">
      <w:pPr>
        <w:numPr>
          <w:ilvl w:val="0"/>
          <w:numId w:val="21"/>
        </w:numPr>
        <w:ind w:left="360"/>
        <w:rPr>
          <w:rFonts w:ascii="Arial" w:hAnsi="Arial" w:cs="Arial"/>
          <w:b/>
        </w:rPr>
      </w:pPr>
      <w:r w:rsidRPr="008E68BA">
        <w:rPr>
          <w:rFonts w:ascii="Arial" w:hAnsi="Arial" w:cs="Arial"/>
          <w:b/>
        </w:rPr>
        <w:t>Executive Summary</w:t>
      </w:r>
    </w:p>
    <w:p w14:paraId="606C09E1" w14:textId="77777777" w:rsidR="00F31261" w:rsidRPr="008E68BA" w:rsidRDefault="00F31261" w:rsidP="008E68BA">
      <w:pPr>
        <w:rPr>
          <w:rFonts w:ascii="Arial" w:hAnsi="Arial" w:cs="Arial"/>
          <w:highlight w:val="yellow"/>
        </w:rPr>
      </w:pPr>
    </w:p>
    <w:p w14:paraId="2BC3F380" w14:textId="77777777" w:rsidR="00F31261" w:rsidRPr="008E68BA" w:rsidRDefault="00F31261" w:rsidP="008E68BA">
      <w:pPr>
        <w:rPr>
          <w:rFonts w:ascii="Arial" w:hAnsi="Arial" w:cs="Arial"/>
          <w:i/>
        </w:rPr>
      </w:pPr>
      <w:r w:rsidRPr="008E68BA">
        <w:rPr>
          <w:rFonts w:ascii="Arial" w:hAnsi="Arial" w:cs="Arial"/>
          <w:b/>
        </w:rPr>
        <w:t>The paper can be summarised as follows:</w:t>
      </w:r>
      <w:r w:rsidRPr="008E68BA">
        <w:rPr>
          <w:rFonts w:ascii="Arial" w:hAnsi="Arial" w:cs="Arial"/>
          <w:i/>
        </w:rPr>
        <w:t xml:space="preserve"> </w:t>
      </w:r>
    </w:p>
    <w:p w14:paraId="17614B85" w14:textId="77777777" w:rsidR="00F31261" w:rsidRPr="008E68BA" w:rsidRDefault="00F31261" w:rsidP="008E68BA">
      <w:pPr>
        <w:rPr>
          <w:rFonts w:ascii="Arial" w:hAnsi="Arial" w:cs="Arial"/>
          <w:b/>
          <w:highlight w:val="yellow"/>
          <w:lang w:eastAsia="en-US"/>
        </w:rPr>
      </w:pPr>
    </w:p>
    <w:p w14:paraId="0A9AF4E0" w14:textId="25018935" w:rsidR="00F31261" w:rsidRPr="008E68BA" w:rsidRDefault="00410A37" w:rsidP="008E68BA">
      <w:pPr>
        <w:pStyle w:val="ListParagraph"/>
        <w:numPr>
          <w:ilvl w:val="0"/>
          <w:numId w:val="24"/>
        </w:numPr>
        <w:ind w:right="141"/>
        <w:rPr>
          <w:rFonts w:ascii="Arial" w:hAnsi="Arial" w:cs="Arial"/>
          <w:lang w:eastAsia="en-US"/>
        </w:rPr>
      </w:pPr>
      <w:r w:rsidRPr="008E68BA">
        <w:rPr>
          <w:rFonts w:ascii="Arial" w:hAnsi="Arial" w:cs="Arial"/>
        </w:rPr>
        <w:t>Annual Operational Plan (</w:t>
      </w:r>
      <w:r w:rsidR="00F31261" w:rsidRPr="008E68BA">
        <w:rPr>
          <w:rFonts w:ascii="Arial" w:hAnsi="Arial" w:cs="Arial"/>
        </w:rPr>
        <w:t>AOP</w:t>
      </w:r>
      <w:r w:rsidRPr="008E68BA">
        <w:rPr>
          <w:rFonts w:ascii="Arial" w:hAnsi="Arial" w:cs="Arial"/>
        </w:rPr>
        <w:t>)</w:t>
      </w:r>
      <w:r w:rsidR="00F31261" w:rsidRPr="008E68BA">
        <w:rPr>
          <w:rFonts w:ascii="Arial" w:hAnsi="Arial" w:cs="Arial"/>
        </w:rPr>
        <w:t xml:space="preserve"> targets set for 2019-2022 for SAB, CDI and E</w:t>
      </w:r>
      <w:r w:rsidR="00D416B3" w:rsidRPr="008E68BA">
        <w:rPr>
          <w:rFonts w:ascii="Arial" w:hAnsi="Arial" w:cs="Arial"/>
        </w:rPr>
        <w:t>CB are presented in this report;</w:t>
      </w:r>
      <w:r w:rsidR="00F31261" w:rsidRPr="008E68BA">
        <w:rPr>
          <w:rFonts w:ascii="Arial" w:hAnsi="Arial" w:cs="Arial"/>
        </w:rPr>
        <w:t xml:space="preserve"> </w:t>
      </w:r>
    </w:p>
    <w:p w14:paraId="75B0FAC1" w14:textId="2BDAA506" w:rsidR="00F31261" w:rsidRPr="008E68BA" w:rsidRDefault="00F31261" w:rsidP="008E68BA">
      <w:pPr>
        <w:pStyle w:val="ListParagraph"/>
        <w:numPr>
          <w:ilvl w:val="1"/>
          <w:numId w:val="24"/>
        </w:numPr>
        <w:contextualSpacing/>
        <w:rPr>
          <w:rFonts w:ascii="Arial" w:hAnsi="Arial" w:cs="Arial"/>
        </w:rPr>
      </w:pPr>
      <w:r w:rsidRPr="008E68BA">
        <w:rPr>
          <w:rFonts w:ascii="Arial" w:hAnsi="Arial" w:cs="Arial"/>
        </w:rPr>
        <w:t xml:space="preserve">Board SAB rate remains within limits.  </w:t>
      </w:r>
      <w:r w:rsidR="00916378" w:rsidRPr="008E68BA">
        <w:rPr>
          <w:rFonts w:ascii="Arial" w:hAnsi="Arial" w:cs="Arial"/>
        </w:rPr>
        <w:t xml:space="preserve">There were </w:t>
      </w:r>
      <w:r w:rsidR="00A67055" w:rsidRPr="008E68BA">
        <w:rPr>
          <w:rFonts w:ascii="Arial" w:hAnsi="Arial" w:cs="Arial"/>
        </w:rPr>
        <w:t>25</w:t>
      </w:r>
      <w:r w:rsidR="00916378" w:rsidRPr="008E68BA">
        <w:rPr>
          <w:rFonts w:ascii="Arial" w:hAnsi="Arial" w:cs="Arial"/>
        </w:rPr>
        <w:t xml:space="preserve"> </w:t>
      </w:r>
      <w:r w:rsidR="00FD35EF" w:rsidRPr="008E68BA">
        <w:rPr>
          <w:rFonts w:ascii="Arial" w:hAnsi="Arial" w:cs="Arial"/>
        </w:rPr>
        <w:t>h</w:t>
      </w:r>
      <w:r w:rsidR="00FF68C9" w:rsidRPr="008E68BA">
        <w:rPr>
          <w:rFonts w:ascii="Arial" w:hAnsi="Arial" w:cs="Arial"/>
        </w:rPr>
        <w:t>ealthcare associated SAB in September</w:t>
      </w:r>
      <w:r w:rsidR="00FD35EF" w:rsidRPr="008E68BA">
        <w:rPr>
          <w:rFonts w:ascii="Arial" w:hAnsi="Arial" w:cs="Arial"/>
        </w:rPr>
        <w:t xml:space="preserve"> 2021 and </w:t>
      </w:r>
      <w:r w:rsidR="00E17834" w:rsidRPr="008E68BA">
        <w:rPr>
          <w:rFonts w:ascii="Arial" w:hAnsi="Arial" w:cs="Arial"/>
        </w:rPr>
        <w:t>26</w:t>
      </w:r>
      <w:r w:rsidR="00FF68C9" w:rsidRPr="008E68BA">
        <w:rPr>
          <w:rFonts w:ascii="Arial" w:hAnsi="Arial" w:cs="Arial"/>
        </w:rPr>
        <w:t xml:space="preserve"> in October</w:t>
      </w:r>
      <w:r w:rsidR="00916378" w:rsidRPr="008E68BA">
        <w:rPr>
          <w:rFonts w:ascii="Arial" w:hAnsi="Arial" w:cs="Arial"/>
        </w:rPr>
        <w:t xml:space="preserve"> 2021. Aim is 23 or less per month. </w:t>
      </w:r>
      <w:r w:rsidRPr="008E68BA">
        <w:rPr>
          <w:rFonts w:ascii="Arial" w:hAnsi="Arial" w:cs="Arial"/>
        </w:rPr>
        <w:t>Actions to address HCAI S</w:t>
      </w:r>
      <w:r w:rsidR="00C21CEC" w:rsidRPr="008E68BA">
        <w:rPr>
          <w:rFonts w:ascii="Arial" w:hAnsi="Arial" w:cs="Arial"/>
        </w:rPr>
        <w:t>AB reduction are included in this</w:t>
      </w:r>
      <w:r w:rsidRPr="008E68BA">
        <w:rPr>
          <w:rFonts w:ascii="Arial" w:hAnsi="Arial" w:cs="Arial"/>
        </w:rPr>
        <w:t xml:space="preserve"> report.</w:t>
      </w:r>
      <w:r w:rsidR="00916378" w:rsidRPr="008E68BA">
        <w:rPr>
          <w:rFonts w:ascii="Arial" w:hAnsi="Arial" w:cs="Arial"/>
        </w:rPr>
        <w:t xml:space="preserve"> </w:t>
      </w:r>
    </w:p>
    <w:p w14:paraId="2190C5F6" w14:textId="6B9C25EE" w:rsidR="00EB3BAF" w:rsidRPr="008E68BA" w:rsidRDefault="00EB3BAF" w:rsidP="008E68BA">
      <w:pPr>
        <w:pStyle w:val="ListParagraph"/>
        <w:numPr>
          <w:ilvl w:val="1"/>
          <w:numId w:val="24"/>
        </w:numPr>
        <w:contextualSpacing/>
        <w:rPr>
          <w:rFonts w:ascii="Arial" w:hAnsi="Arial" w:cs="Arial"/>
          <w:i/>
          <w:u w:val="single"/>
        </w:rPr>
      </w:pPr>
      <w:r w:rsidRPr="008E68BA">
        <w:rPr>
          <w:rFonts w:ascii="Arial" w:hAnsi="Arial" w:cs="Arial"/>
        </w:rPr>
        <w:t>CDI</w:t>
      </w:r>
      <w:r w:rsidR="00C21CEC" w:rsidRPr="008E68BA">
        <w:rPr>
          <w:rFonts w:ascii="Arial" w:hAnsi="Arial" w:cs="Arial"/>
        </w:rPr>
        <w:t xml:space="preserve"> rare</w:t>
      </w:r>
      <w:r w:rsidRPr="008E68BA">
        <w:rPr>
          <w:rFonts w:ascii="Arial" w:hAnsi="Arial" w:cs="Arial"/>
        </w:rPr>
        <w:t xml:space="preserve"> remain</w:t>
      </w:r>
      <w:r w:rsidR="00C21CEC" w:rsidRPr="008E68BA">
        <w:rPr>
          <w:rFonts w:ascii="Arial" w:hAnsi="Arial" w:cs="Arial"/>
        </w:rPr>
        <w:t>s</w:t>
      </w:r>
      <w:r w:rsidRPr="008E68BA">
        <w:rPr>
          <w:rFonts w:ascii="Arial" w:hAnsi="Arial" w:cs="Arial"/>
        </w:rPr>
        <w:t xml:space="preserve"> within normal control limits for the period of the report. There were </w:t>
      </w:r>
      <w:r w:rsidR="00E17834" w:rsidRPr="008E68BA">
        <w:rPr>
          <w:rFonts w:ascii="Arial" w:hAnsi="Arial" w:cs="Arial"/>
        </w:rPr>
        <w:t>24</w:t>
      </w:r>
      <w:r w:rsidRPr="008E68BA">
        <w:rPr>
          <w:rFonts w:ascii="Arial" w:hAnsi="Arial" w:cs="Arial"/>
        </w:rPr>
        <w:t xml:space="preserve"> hea</w:t>
      </w:r>
      <w:r w:rsidR="00FF68C9" w:rsidRPr="008E68BA">
        <w:rPr>
          <w:rFonts w:ascii="Arial" w:hAnsi="Arial" w:cs="Arial"/>
        </w:rPr>
        <w:t>lthcare associated CDI in September</w:t>
      </w:r>
      <w:r w:rsidRPr="008E68BA">
        <w:rPr>
          <w:rFonts w:ascii="Arial" w:hAnsi="Arial" w:cs="Arial"/>
        </w:rPr>
        <w:t xml:space="preserve"> 2021 and </w:t>
      </w:r>
      <w:r w:rsidR="00E17834" w:rsidRPr="008E68BA">
        <w:rPr>
          <w:rFonts w:ascii="Arial" w:hAnsi="Arial" w:cs="Arial"/>
        </w:rPr>
        <w:t>17</w:t>
      </w:r>
      <w:r w:rsidR="00FF68C9" w:rsidRPr="008E68BA">
        <w:rPr>
          <w:rFonts w:ascii="Arial" w:hAnsi="Arial" w:cs="Arial"/>
        </w:rPr>
        <w:t xml:space="preserve"> in October</w:t>
      </w:r>
      <w:r w:rsidRPr="008E68BA">
        <w:rPr>
          <w:rFonts w:ascii="Arial" w:hAnsi="Arial" w:cs="Arial"/>
        </w:rPr>
        <w:t xml:space="preserve"> 2021. Aim is 17 or less per month. </w:t>
      </w:r>
    </w:p>
    <w:p w14:paraId="4A072DFB" w14:textId="7B618C31" w:rsidR="00F31261" w:rsidRPr="008E68BA" w:rsidRDefault="00F31261" w:rsidP="008E68BA">
      <w:pPr>
        <w:pStyle w:val="ListParagraph"/>
        <w:numPr>
          <w:ilvl w:val="1"/>
          <w:numId w:val="24"/>
        </w:numPr>
        <w:contextualSpacing/>
        <w:rPr>
          <w:rFonts w:ascii="Arial" w:hAnsi="Arial" w:cs="Arial"/>
          <w:i/>
          <w:u w:val="single"/>
        </w:rPr>
      </w:pPr>
      <w:r w:rsidRPr="008E68BA">
        <w:rPr>
          <w:rFonts w:ascii="Arial" w:hAnsi="Arial" w:cs="Arial"/>
        </w:rPr>
        <w:t xml:space="preserve">ECB </w:t>
      </w:r>
      <w:r w:rsidR="00D66DE5" w:rsidRPr="008E68BA">
        <w:rPr>
          <w:rFonts w:ascii="Arial" w:hAnsi="Arial" w:cs="Arial"/>
        </w:rPr>
        <w:t xml:space="preserve">rate </w:t>
      </w:r>
      <w:r w:rsidRPr="008E68BA">
        <w:rPr>
          <w:rFonts w:ascii="Arial" w:hAnsi="Arial" w:cs="Arial"/>
        </w:rPr>
        <w:t>remain</w:t>
      </w:r>
      <w:r w:rsidR="00D66DE5" w:rsidRPr="008E68BA">
        <w:rPr>
          <w:rFonts w:ascii="Arial" w:hAnsi="Arial" w:cs="Arial"/>
        </w:rPr>
        <w:t>s</w:t>
      </w:r>
      <w:r w:rsidRPr="008E68BA">
        <w:rPr>
          <w:rFonts w:ascii="Arial" w:hAnsi="Arial" w:cs="Arial"/>
        </w:rPr>
        <w:t xml:space="preserve"> within normal control limits.</w:t>
      </w:r>
      <w:r w:rsidR="00916378" w:rsidRPr="008E68BA">
        <w:rPr>
          <w:rFonts w:ascii="Arial" w:hAnsi="Arial" w:cs="Arial"/>
        </w:rPr>
        <w:t xml:space="preserve"> </w:t>
      </w:r>
      <w:r w:rsidR="004F0954" w:rsidRPr="008E68BA">
        <w:rPr>
          <w:rFonts w:ascii="Arial" w:hAnsi="Arial" w:cs="Arial"/>
        </w:rPr>
        <w:t xml:space="preserve">There were </w:t>
      </w:r>
      <w:r w:rsidR="00E17834" w:rsidRPr="008E68BA">
        <w:rPr>
          <w:rFonts w:ascii="Arial" w:hAnsi="Arial" w:cs="Arial"/>
        </w:rPr>
        <w:t>48</w:t>
      </w:r>
      <w:r w:rsidR="004F0954" w:rsidRPr="008E68BA">
        <w:rPr>
          <w:rFonts w:ascii="Arial" w:hAnsi="Arial" w:cs="Arial"/>
        </w:rPr>
        <w:t xml:space="preserve"> healthcare associated </w:t>
      </w:r>
      <w:r w:rsidR="00FF68C9" w:rsidRPr="008E68BA">
        <w:rPr>
          <w:rFonts w:ascii="Arial" w:hAnsi="Arial" w:cs="Arial"/>
        </w:rPr>
        <w:t>ECB in September</w:t>
      </w:r>
      <w:r w:rsidR="00FD35EF" w:rsidRPr="008E68BA">
        <w:rPr>
          <w:rFonts w:ascii="Arial" w:hAnsi="Arial" w:cs="Arial"/>
        </w:rPr>
        <w:t xml:space="preserve"> 2021 and </w:t>
      </w:r>
      <w:r w:rsidR="00E17834" w:rsidRPr="008E68BA">
        <w:rPr>
          <w:rFonts w:ascii="Arial" w:hAnsi="Arial" w:cs="Arial"/>
        </w:rPr>
        <w:t>45</w:t>
      </w:r>
      <w:r w:rsidR="00FF68C9" w:rsidRPr="008E68BA">
        <w:rPr>
          <w:rFonts w:ascii="Arial" w:hAnsi="Arial" w:cs="Arial"/>
        </w:rPr>
        <w:t xml:space="preserve"> in October</w:t>
      </w:r>
      <w:r w:rsidR="004F0954" w:rsidRPr="008E68BA">
        <w:rPr>
          <w:rFonts w:ascii="Arial" w:hAnsi="Arial" w:cs="Arial"/>
        </w:rPr>
        <w:t xml:space="preserve"> 2021. Aim is 38 or less per month</w:t>
      </w:r>
      <w:r w:rsidR="00E209B6" w:rsidRPr="008E68BA">
        <w:rPr>
          <w:rFonts w:ascii="Arial" w:hAnsi="Arial" w:cs="Arial"/>
        </w:rPr>
        <w:t>.</w:t>
      </w:r>
    </w:p>
    <w:p w14:paraId="107BD831" w14:textId="4033F0CB" w:rsidR="00F31261" w:rsidRPr="008E68BA" w:rsidRDefault="00F31261" w:rsidP="008E68BA">
      <w:pPr>
        <w:pStyle w:val="ListParagraph"/>
        <w:numPr>
          <w:ilvl w:val="1"/>
          <w:numId w:val="24"/>
        </w:numPr>
        <w:rPr>
          <w:rFonts w:ascii="Arial" w:hAnsi="Arial" w:cs="Arial"/>
          <w:lang w:eastAsia="en-US"/>
        </w:rPr>
      </w:pPr>
      <w:r w:rsidRPr="008E68BA">
        <w:rPr>
          <w:rFonts w:ascii="Arial" w:hAnsi="Arial" w:cs="Arial"/>
        </w:rPr>
        <w:lastRenderedPageBreak/>
        <w:t>Surgical Site Infection (SSI) surveillance paused nationally from April 2020 to date</w:t>
      </w:r>
      <w:r w:rsidR="00D76B52" w:rsidRPr="008E68BA">
        <w:rPr>
          <w:rFonts w:ascii="Arial" w:hAnsi="Arial" w:cs="Arial"/>
        </w:rPr>
        <w:t>,</w:t>
      </w:r>
      <w:r w:rsidRPr="008E68BA">
        <w:rPr>
          <w:rFonts w:ascii="Arial" w:hAnsi="Arial" w:cs="Arial"/>
        </w:rPr>
        <w:t xml:space="preserve"> as part of the COVID-19 response</w:t>
      </w:r>
      <w:r w:rsidR="00D76B52" w:rsidRPr="008E68BA">
        <w:rPr>
          <w:rFonts w:ascii="Arial" w:hAnsi="Arial" w:cs="Arial"/>
        </w:rPr>
        <w:t>,</w:t>
      </w:r>
      <w:r w:rsidRPr="008E68BA">
        <w:rPr>
          <w:rFonts w:ascii="Arial" w:hAnsi="Arial" w:cs="Arial"/>
        </w:rPr>
        <w:t xml:space="preserve"> however</w:t>
      </w:r>
      <w:r w:rsidR="00D76B52" w:rsidRPr="008E68BA">
        <w:rPr>
          <w:rFonts w:ascii="Arial" w:hAnsi="Arial" w:cs="Arial"/>
        </w:rPr>
        <w:t>,</w:t>
      </w:r>
      <w:r w:rsidRPr="008E68BA">
        <w:rPr>
          <w:rFonts w:ascii="Arial" w:hAnsi="Arial" w:cs="Arial"/>
        </w:rPr>
        <w:t xml:space="preserve"> GGC continues with local SSI surveillance programme.</w:t>
      </w:r>
      <w:r w:rsidR="004F0954" w:rsidRPr="008E68BA">
        <w:rPr>
          <w:rFonts w:ascii="Arial" w:hAnsi="Arial" w:cs="Arial"/>
        </w:rPr>
        <w:t xml:space="preserve"> </w:t>
      </w:r>
      <w:r w:rsidR="00DA13D1" w:rsidRPr="008E68BA">
        <w:rPr>
          <w:rFonts w:ascii="Arial" w:hAnsi="Arial" w:cs="Arial"/>
        </w:rPr>
        <w:t xml:space="preserve"> </w:t>
      </w:r>
    </w:p>
    <w:p w14:paraId="3EF3EDFB" w14:textId="77777777" w:rsidR="004B309F" w:rsidRPr="008E68BA" w:rsidRDefault="004B309F" w:rsidP="008E68BA">
      <w:pPr>
        <w:pStyle w:val="ListParagraph"/>
        <w:ind w:left="1440"/>
        <w:rPr>
          <w:rFonts w:ascii="Arial" w:hAnsi="Arial" w:cs="Arial"/>
          <w:lang w:eastAsia="en-US"/>
        </w:rPr>
      </w:pPr>
    </w:p>
    <w:p w14:paraId="5C52567C" w14:textId="309AA711" w:rsidR="000671BE" w:rsidRPr="008E68BA" w:rsidRDefault="000671BE" w:rsidP="008E68BA">
      <w:pPr>
        <w:pStyle w:val="ListParagraph"/>
        <w:rPr>
          <w:rFonts w:ascii="Arial" w:hAnsi="Arial" w:cs="Arial"/>
          <w:u w:val="single"/>
        </w:rPr>
      </w:pPr>
      <w:r w:rsidRPr="008E68BA">
        <w:rPr>
          <w:rFonts w:ascii="Arial" w:hAnsi="Arial" w:cs="Arial"/>
        </w:rPr>
        <w:t xml:space="preserve">The following link </w:t>
      </w:r>
      <w:r w:rsidR="004B309F" w:rsidRPr="008E68BA">
        <w:rPr>
          <w:rFonts w:ascii="Arial" w:hAnsi="Arial" w:cs="Arial"/>
        </w:rPr>
        <w:t xml:space="preserve">is the </w:t>
      </w:r>
      <w:r w:rsidRPr="008E68BA">
        <w:rPr>
          <w:rFonts w:ascii="Arial" w:hAnsi="Arial" w:cs="Arial"/>
        </w:rPr>
        <w:t>ARHAI</w:t>
      </w:r>
      <w:r w:rsidR="004B309F" w:rsidRPr="008E68BA">
        <w:rPr>
          <w:rFonts w:ascii="Arial" w:hAnsi="Arial" w:cs="Arial"/>
        </w:rPr>
        <w:t xml:space="preserve"> report for the period April to June 2021. This report also includes information on perfo</w:t>
      </w:r>
      <w:r w:rsidR="00FF68C9" w:rsidRPr="008E68BA">
        <w:rPr>
          <w:rFonts w:ascii="Arial" w:hAnsi="Arial" w:cs="Arial"/>
        </w:rPr>
        <w:t>rmance for the rolling year July</w:t>
      </w:r>
      <w:r w:rsidR="004B309F" w:rsidRPr="008E68BA">
        <w:rPr>
          <w:rFonts w:ascii="Arial" w:hAnsi="Arial" w:cs="Arial"/>
        </w:rPr>
        <w:t xml:space="preserve"> 2020</w:t>
      </w:r>
      <w:r w:rsidR="004B4529" w:rsidRPr="008E68BA">
        <w:rPr>
          <w:rFonts w:ascii="Arial" w:hAnsi="Arial" w:cs="Arial"/>
        </w:rPr>
        <w:t xml:space="preserve"> to</w:t>
      </w:r>
      <w:r w:rsidR="004B309F" w:rsidRPr="008E68BA">
        <w:rPr>
          <w:rFonts w:ascii="Arial" w:hAnsi="Arial" w:cs="Arial"/>
        </w:rPr>
        <w:t xml:space="preserve"> June 2021</w:t>
      </w:r>
      <w:r w:rsidRPr="008E68BA">
        <w:rPr>
          <w:rFonts w:ascii="Arial" w:hAnsi="Arial" w:cs="Arial"/>
        </w:rPr>
        <w:t xml:space="preserve"> for CDI, ECB, SABs and SSI cases</w:t>
      </w:r>
      <w:r w:rsidR="004B4529" w:rsidRPr="008E68BA">
        <w:rPr>
          <w:rFonts w:ascii="Arial" w:hAnsi="Arial" w:cs="Arial"/>
        </w:rPr>
        <w:t>.</w:t>
      </w:r>
      <w:r w:rsidR="001670A3" w:rsidRPr="008E68BA">
        <w:rPr>
          <w:rFonts w:ascii="Arial" w:hAnsi="Arial" w:cs="Arial"/>
        </w:rPr>
        <w:t xml:space="preserve"> </w:t>
      </w:r>
      <w:hyperlink r:id="rId10" w:history="1">
        <w:r w:rsidR="001670A3" w:rsidRPr="008E68BA">
          <w:rPr>
            <w:rStyle w:val="Hyperlink"/>
            <w:rFonts w:ascii="Arial" w:hAnsi="Arial" w:cs="Arial"/>
          </w:rPr>
          <w:t>https://www.hps.scot.nhs.uk/web-resources-container/quarterly-epidemiological-data-on-clostridioides-difficile-infection-escherichia-coli-bacteraemia-staphylococcus-aureus-bacteraemia-and-surgical-site-infection-in-scotland-april-to-june-2021-q2-2021/</w:t>
        </w:r>
      </w:hyperlink>
      <w:r w:rsidR="001670A3" w:rsidRPr="008E68BA">
        <w:rPr>
          <w:rFonts w:ascii="Arial" w:hAnsi="Arial" w:cs="Arial"/>
        </w:rPr>
        <w:t xml:space="preserve"> . </w:t>
      </w:r>
      <w:r w:rsidR="004B309F" w:rsidRPr="008E68BA">
        <w:rPr>
          <w:rFonts w:ascii="Arial" w:hAnsi="Arial" w:cs="Arial"/>
        </w:rPr>
        <w:t xml:space="preserve">The 2022 targets continue to be extremely challenging but the ARHAI report demonstrates that GGC are not outliers in any category presented. </w:t>
      </w:r>
      <w:r w:rsidR="000B3C05" w:rsidRPr="008E68BA">
        <w:rPr>
          <w:rFonts w:ascii="Arial" w:hAnsi="Arial" w:cs="Arial"/>
        </w:rPr>
        <w:t>Charts within this</w:t>
      </w:r>
      <w:r w:rsidR="004B4529" w:rsidRPr="008E68BA">
        <w:rPr>
          <w:rFonts w:ascii="Arial" w:hAnsi="Arial" w:cs="Arial"/>
        </w:rPr>
        <w:t xml:space="preserve"> report</w:t>
      </w:r>
      <w:r w:rsidR="001670A3" w:rsidRPr="008E68BA">
        <w:rPr>
          <w:rFonts w:ascii="Arial" w:hAnsi="Arial" w:cs="Arial"/>
        </w:rPr>
        <w:t>,</w:t>
      </w:r>
      <w:r w:rsidR="004B4529" w:rsidRPr="008E68BA">
        <w:rPr>
          <w:rFonts w:ascii="Arial" w:hAnsi="Arial" w:cs="Arial"/>
        </w:rPr>
        <w:t xml:space="preserve"> where appropriate</w:t>
      </w:r>
      <w:r w:rsidR="001670A3" w:rsidRPr="008E68BA">
        <w:rPr>
          <w:rFonts w:ascii="Arial" w:hAnsi="Arial" w:cs="Arial"/>
        </w:rPr>
        <w:t>,</w:t>
      </w:r>
      <w:r w:rsidR="004B4529" w:rsidRPr="008E68BA">
        <w:rPr>
          <w:rFonts w:ascii="Arial" w:hAnsi="Arial" w:cs="Arial"/>
        </w:rPr>
        <w:t xml:space="preserve"> highlight continuous improvement over time.</w:t>
      </w:r>
    </w:p>
    <w:p w14:paraId="31765E80" w14:textId="5852B79E" w:rsidR="000B3C05" w:rsidRPr="008E68BA" w:rsidRDefault="000B3C05" w:rsidP="008E68BA">
      <w:pPr>
        <w:pStyle w:val="ListParagraph"/>
        <w:numPr>
          <w:ilvl w:val="0"/>
          <w:numId w:val="24"/>
        </w:numPr>
        <w:rPr>
          <w:rFonts w:ascii="Arial" w:hAnsi="Arial" w:cs="Arial"/>
        </w:rPr>
      </w:pPr>
      <w:r w:rsidRPr="008E68BA">
        <w:rPr>
          <w:rFonts w:ascii="Arial" w:hAnsi="Arial" w:cs="Arial"/>
        </w:rPr>
        <w:t xml:space="preserve">Both the Infection Prevention and Control Quality Improvement Network (IPCQIN) Steering Group and the Operational Group have been meeting regularly. The visual branding and the vision statement have been agreed and are now being used. The second issue of the IPCQIN will be issued to staff via Core Brief in January 2022 to update them on the continuous improvement implemented by the network. </w:t>
      </w:r>
    </w:p>
    <w:p w14:paraId="5F7BB1B1" w14:textId="3BCD4098" w:rsidR="000B3C05" w:rsidRPr="008E68BA" w:rsidRDefault="000B3C05" w:rsidP="008E68BA">
      <w:pPr>
        <w:pStyle w:val="ListParagraph"/>
        <w:numPr>
          <w:ilvl w:val="0"/>
          <w:numId w:val="24"/>
        </w:numPr>
        <w:ind w:right="141"/>
        <w:rPr>
          <w:rFonts w:ascii="Arial" w:hAnsi="Arial" w:cs="Arial"/>
        </w:rPr>
      </w:pPr>
      <w:r w:rsidRPr="008E68BA">
        <w:rPr>
          <w:rFonts w:ascii="Arial" w:hAnsi="Arial" w:cs="Arial"/>
        </w:rPr>
        <w:t>COVID-19 activity continued during September and October 2021.  IPCT are working closely with colleagues to support the implementation of national guidance in practice. To date in NHSGGC there have been over 174,000 confirmed positive cases however many people do not require admission to our hospitals. There was an increase in ward closures in both months.</w:t>
      </w:r>
    </w:p>
    <w:p w14:paraId="586B6327" w14:textId="77777777" w:rsidR="00DE2FE8" w:rsidRPr="008E68BA" w:rsidRDefault="00DE2FE8" w:rsidP="008E68BA">
      <w:pPr>
        <w:pStyle w:val="ListParagraph"/>
        <w:numPr>
          <w:ilvl w:val="0"/>
          <w:numId w:val="24"/>
        </w:numPr>
        <w:spacing w:before="120"/>
        <w:ind w:right="176"/>
        <w:contextualSpacing/>
        <w:rPr>
          <w:rFonts w:ascii="Arial" w:hAnsi="Arial" w:cs="Arial"/>
        </w:rPr>
      </w:pPr>
      <w:r w:rsidRPr="008E68BA">
        <w:rPr>
          <w:rFonts w:ascii="Arial" w:hAnsi="Arial" w:cs="Arial"/>
        </w:rPr>
        <w:t>The Board’s cleaning compliance is 95% and Estates compliance is 96% for September 2021, and 95% and 96% respectively for October 2021.</w:t>
      </w:r>
    </w:p>
    <w:p w14:paraId="2AC7B24D" w14:textId="77777777" w:rsidR="00DE2FE8" w:rsidRPr="008E68BA" w:rsidRDefault="00DE2FE8" w:rsidP="008E68BA">
      <w:pPr>
        <w:pStyle w:val="ListParagraph"/>
        <w:numPr>
          <w:ilvl w:val="0"/>
          <w:numId w:val="24"/>
        </w:numPr>
        <w:ind w:right="175"/>
        <w:contextualSpacing/>
        <w:rPr>
          <w:rFonts w:ascii="Arial" w:hAnsi="Arial" w:cs="Arial"/>
        </w:rPr>
      </w:pPr>
      <w:r w:rsidRPr="008E68BA">
        <w:rPr>
          <w:rFonts w:ascii="Arial" w:hAnsi="Arial" w:cs="Arial"/>
        </w:rPr>
        <w:t>SSI surveillance continues.  National SSI surveillance remains paused.</w:t>
      </w:r>
    </w:p>
    <w:p w14:paraId="25B9F1C9" w14:textId="77777777" w:rsidR="00DE2FE8" w:rsidRPr="008E68BA" w:rsidRDefault="00DE2FE8" w:rsidP="008E68BA">
      <w:pPr>
        <w:pStyle w:val="ListParagraph"/>
        <w:numPr>
          <w:ilvl w:val="0"/>
          <w:numId w:val="24"/>
        </w:numPr>
        <w:ind w:right="175"/>
        <w:contextualSpacing/>
        <w:rPr>
          <w:rFonts w:ascii="Arial" w:hAnsi="Arial" w:cs="Arial"/>
        </w:rPr>
      </w:pPr>
      <w:r w:rsidRPr="008E68BA">
        <w:rPr>
          <w:rFonts w:ascii="Arial" w:hAnsi="Arial" w:cs="Arial"/>
        </w:rPr>
        <w:t xml:space="preserve">The IPCT are supporting the organisation to inform recovery plans post COVID-19. </w:t>
      </w:r>
    </w:p>
    <w:p w14:paraId="0B354C42" w14:textId="77777777" w:rsidR="00DE2FE8" w:rsidRPr="008E68BA" w:rsidRDefault="00DE2FE8" w:rsidP="008E68BA">
      <w:pPr>
        <w:pStyle w:val="ListParagraph"/>
        <w:numPr>
          <w:ilvl w:val="0"/>
          <w:numId w:val="24"/>
        </w:numPr>
        <w:ind w:right="175"/>
        <w:contextualSpacing/>
        <w:rPr>
          <w:rFonts w:ascii="Arial" w:hAnsi="Arial" w:cs="Arial"/>
        </w:rPr>
      </w:pPr>
      <w:r w:rsidRPr="008E68BA">
        <w:rPr>
          <w:rFonts w:ascii="Arial" w:hAnsi="Arial" w:cs="Arial"/>
        </w:rPr>
        <w:t xml:space="preserve">Close communication with ARHAI and other external organisations continues, with contributions from several members of the IPCT to National Groups. </w:t>
      </w:r>
    </w:p>
    <w:p w14:paraId="79E6D54E" w14:textId="3C66A71B" w:rsidR="000B3C05" w:rsidRPr="008E68BA" w:rsidRDefault="000B3C05" w:rsidP="008E68BA">
      <w:pPr>
        <w:pStyle w:val="ListParagraph"/>
        <w:numPr>
          <w:ilvl w:val="0"/>
          <w:numId w:val="24"/>
        </w:numPr>
        <w:ind w:right="175"/>
        <w:contextualSpacing/>
        <w:rPr>
          <w:rFonts w:ascii="Arial" w:hAnsi="Arial" w:cs="Arial"/>
        </w:rPr>
      </w:pPr>
      <w:r w:rsidRPr="008E68BA">
        <w:rPr>
          <w:rFonts w:ascii="Arial" w:hAnsi="Arial" w:cs="Arial"/>
        </w:rPr>
        <w:t>Actions from the recommendations of the SG oversight board and case note review are almost complete (</w:t>
      </w:r>
      <w:r w:rsidR="00394BF8" w:rsidRPr="008E68BA">
        <w:rPr>
          <w:rFonts w:ascii="Arial" w:hAnsi="Arial" w:cs="Arial"/>
        </w:rPr>
        <w:t xml:space="preserve">there is </w:t>
      </w:r>
      <w:r w:rsidRPr="008E68BA">
        <w:rPr>
          <w:rFonts w:ascii="Arial" w:hAnsi="Arial" w:cs="Arial"/>
        </w:rPr>
        <w:t xml:space="preserve">one outstanding action which </w:t>
      </w:r>
      <w:r w:rsidR="00331257" w:rsidRPr="008E68BA">
        <w:rPr>
          <w:rFonts w:ascii="Arial" w:hAnsi="Arial" w:cs="Arial"/>
        </w:rPr>
        <w:t>requires collaboration with ARHAI colleagues</w:t>
      </w:r>
      <w:r w:rsidR="00394BF8" w:rsidRPr="008E68BA">
        <w:rPr>
          <w:rFonts w:ascii="Arial" w:hAnsi="Arial" w:cs="Arial"/>
        </w:rPr>
        <w:t>, i.e. the</w:t>
      </w:r>
      <w:r w:rsidR="00331257" w:rsidRPr="008E68BA">
        <w:rPr>
          <w:rFonts w:ascii="Arial" w:hAnsi="Arial" w:cs="Arial"/>
        </w:rPr>
        <w:t xml:space="preserve"> </w:t>
      </w:r>
      <w:r w:rsidR="00394BF8" w:rsidRPr="008E68BA">
        <w:rPr>
          <w:rFonts w:ascii="Arial" w:hAnsi="Arial" w:cs="Arial"/>
        </w:rPr>
        <w:t>d</w:t>
      </w:r>
      <w:r w:rsidR="00331257" w:rsidRPr="008E68BA">
        <w:rPr>
          <w:rFonts w:ascii="Arial" w:hAnsi="Arial" w:cs="Arial"/>
        </w:rPr>
        <w:t xml:space="preserve">evelopment of an early Warning System </w:t>
      </w:r>
      <w:r w:rsidR="00394BF8" w:rsidRPr="008E68BA">
        <w:rPr>
          <w:rFonts w:ascii="Arial" w:hAnsi="Arial" w:cs="Arial"/>
        </w:rPr>
        <w:t xml:space="preserve">for high risk units; this we understand will be </w:t>
      </w:r>
      <w:r w:rsidR="00331257" w:rsidRPr="008E68BA">
        <w:rPr>
          <w:rFonts w:ascii="Arial" w:hAnsi="Arial" w:cs="Arial"/>
        </w:rPr>
        <w:t>a first for Scotland)</w:t>
      </w:r>
      <w:r w:rsidRPr="008E68BA">
        <w:rPr>
          <w:rFonts w:ascii="Arial" w:hAnsi="Arial" w:cs="Arial"/>
        </w:rPr>
        <w:t>.</w:t>
      </w:r>
    </w:p>
    <w:p w14:paraId="787FC311" w14:textId="77777777" w:rsidR="00DE2FE8" w:rsidRPr="008E68BA" w:rsidRDefault="00DE2FE8" w:rsidP="008E68BA">
      <w:pPr>
        <w:ind w:right="141"/>
        <w:rPr>
          <w:rFonts w:ascii="Arial" w:hAnsi="Arial" w:cs="Arial"/>
        </w:rPr>
      </w:pPr>
    </w:p>
    <w:p w14:paraId="4C5D00A2" w14:textId="77777777" w:rsidR="0071014C" w:rsidRPr="008E68BA" w:rsidRDefault="0071014C" w:rsidP="008E68BA">
      <w:pPr>
        <w:ind w:left="360" w:right="141"/>
        <w:rPr>
          <w:rFonts w:ascii="Arial" w:hAnsi="Arial" w:cs="Arial"/>
        </w:rPr>
      </w:pPr>
    </w:p>
    <w:p w14:paraId="26EE2304" w14:textId="77777777" w:rsidR="00F31261" w:rsidRPr="008E68BA" w:rsidRDefault="00F31261" w:rsidP="008E68BA">
      <w:pPr>
        <w:numPr>
          <w:ilvl w:val="0"/>
          <w:numId w:val="21"/>
        </w:numPr>
        <w:ind w:left="360"/>
        <w:rPr>
          <w:rFonts w:ascii="Arial" w:hAnsi="Arial" w:cs="Arial"/>
          <w:b/>
        </w:rPr>
      </w:pPr>
      <w:r w:rsidRPr="008E68BA">
        <w:rPr>
          <w:rFonts w:ascii="Arial" w:hAnsi="Arial" w:cs="Arial"/>
          <w:b/>
        </w:rPr>
        <w:t>Recommendations</w:t>
      </w:r>
    </w:p>
    <w:p w14:paraId="18C213F7" w14:textId="77777777" w:rsidR="00F31261" w:rsidRPr="008E68BA" w:rsidRDefault="00F31261" w:rsidP="008E68BA">
      <w:pPr>
        <w:rPr>
          <w:rFonts w:ascii="Arial" w:hAnsi="Arial" w:cs="Arial"/>
        </w:rPr>
      </w:pPr>
    </w:p>
    <w:p w14:paraId="6884B774" w14:textId="68113560" w:rsidR="00F31261" w:rsidRPr="008E68BA" w:rsidRDefault="00F31261" w:rsidP="008E68BA">
      <w:pPr>
        <w:pStyle w:val="nhstopaddress"/>
        <w:rPr>
          <w:rFonts w:ascii="Arial" w:hAnsi="Arial" w:cs="Arial"/>
          <w:b/>
          <w:szCs w:val="24"/>
        </w:rPr>
      </w:pPr>
      <w:r w:rsidRPr="008E68BA">
        <w:rPr>
          <w:rFonts w:ascii="Arial" w:hAnsi="Arial" w:cs="Arial"/>
          <w:b/>
          <w:szCs w:val="24"/>
        </w:rPr>
        <w:t xml:space="preserve">The </w:t>
      </w:r>
      <w:r w:rsidR="00D837F5" w:rsidRPr="008E68BA">
        <w:rPr>
          <w:rFonts w:ascii="Arial" w:hAnsi="Arial" w:cs="Arial"/>
          <w:b/>
          <w:szCs w:val="24"/>
        </w:rPr>
        <w:t xml:space="preserve">Clinical and Care Governance Committee </w:t>
      </w:r>
      <w:r w:rsidRPr="008E68BA">
        <w:rPr>
          <w:rFonts w:ascii="Arial" w:hAnsi="Arial" w:cs="Arial"/>
          <w:b/>
          <w:szCs w:val="24"/>
        </w:rPr>
        <w:t>is asked to consider the following recommendations:</w:t>
      </w:r>
      <w:r w:rsidRPr="008E68BA">
        <w:rPr>
          <w:rFonts w:ascii="Arial" w:hAnsi="Arial" w:cs="Arial"/>
          <w:szCs w:val="24"/>
        </w:rPr>
        <w:t xml:space="preserve"> </w:t>
      </w:r>
    </w:p>
    <w:p w14:paraId="467EDD58" w14:textId="77777777" w:rsidR="00F31261" w:rsidRPr="008E68BA" w:rsidRDefault="00F31261" w:rsidP="008E68BA">
      <w:pPr>
        <w:rPr>
          <w:rFonts w:ascii="Arial" w:hAnsi="Arial" w:cs="Arial"/>
          <w:lang w:eastAsia="en-US"/>
        </w:rPr>
      </w:pPr>
    </w:p>
    <w:p w14:paraId="0BFE4AA5" w14:textId="77777777" w:rsidR="00F31261" w:rsidRPr="008E68BA" w:rsidRDefault="00F31261" w:rsidP="008E68BA">
      <w:pPr>
        <w:pStyle w:val="ListParagraph"/>
        <w:numPr>
          <w:ilvl w:val="0"/>
          <w:numId w:val="3"/>
        </w:numPr>
        <w:ind w:right="141"/>
        <w:rPr>
          <w:rFonts w:ascii="Arial" w:hAnsi="Arial" w:cs="Arial"/>
          <w:lang w:eastAsia="en-US"/>
        </w:rPr>
      </w:pPr>
      <w:r w:rsidRPr="008E68BA">
        <w:rPr>
          <w:rFonts w:ascii="Arial" w:hAnsi="Arial" w:cs="Arial"/>
        </w:rPr>
        <w:t>Note the HAIRT report.</w:t>
      </w:r>
    </w:p>
    <w:p w14:paraId="35824EF8" w14:textId="77777777" w:rsidR="00F31261" w:rsidRPr="008E68BA" w:rsidRDefault="00F31261" w:rsidP="008E68BA">
      <w:pPr>
        <w:pStyle w:val="ListParagraph"/>
        <w:numPr>
          <w:ilvl w:val="0"/>
          <w:numId w:val="3"/>
        </w:numPr>
        <w:ind w:right="141"/>
        <w:rPr>
          <w:rFonts w:ascii="Arial" w:hAnsi="Arial" w:cs="Arial"/>
          <w:lang w:eastAsia="en-US"/>
        </w:rPr>
      </w:pPr>
      <w:r w:rsidRPr="008E68BA">
        <w:rPr>
          <w:rFonts w:ascii="Arial" w:hAnsi="Arial" w:cs="Arial"/>
        </w:rPr>
        <w:t>Note the performance in respect of the Annual Operational Plan (AOP) Standards for SAB, CDI and ECB.</w:t>
      </w:r>
    </w:p>
    <w:p w14:paraId="631C4E51" w14:textId="77777777" w:rsidR="00F31261" w:rsidRPr="008E68BA" w:rsidRDefault="00F31261" w:rsidP="008E68BA">
      <w:pPr>
        <w:pStyle w:val="ListParagraph"/>
        <w:numPr>
          <w:ilvl w:val="0"/>
          <w:numId w:val="3"/>
        </w:numPr>
        <w:ind w:right="141"/>
        <w:rPr>
          <w:rFonts w:ascii="Arial" w:hAnsi="Arial" w:cs="Arial"/>
          <w:lang w:eastAsia="en-US"/>
        </w:rPr>
      </w:pPr>
      <w:r w:rsidRPr="008E68BA">
        <w:rPr>
          <w:rFonts w:ascii="Arial" w:hAnsi="Arial" w:cs="Arial"/>
        </w:rPr>
        <w:t>Note the detailed activity in support of the prevention and control of Healthcare Associated Infection</w:t>
      </w:r>
      <w:r w:rsidR="0071014C" w:rsidRPr="008E68BA">
        <w:rPr>
          <w:rFonts w:ascii="Arial" w:hAnsi="Arial" w:cs="Arial"/>
        </w:rPr>
        <w:t>s</w:t>
      </w:r>
      <w:r w:rsidRPr="008E68BA">
        <w:rPr>
          <w:rFonts w:ascii="Arial" w:hAnsi="Arial" w:cs="Arial"/>
        </w:rPr>
        <w:t>.</w:t>
      </w:r>
    </w:p>
    <w:p w14:paraId="4FF56B8A" w14:textId="2B77241A" w:rsidR="00F31261" w:rsidRPr="008E68BA" w:rsidRDefault="00F31261" w:rsidP="008E68BA">
      <w:pPr>
        <w:pStyle w:val="ListParagraph"/>
        <w:numPr>
          <w:ilvl w:val="0"/>
          <w:numId w:val="3"/>
        </w:numPr>
        <w:ind w:right="141"/>
        <w:rPr>
          <w:rFonts w:ascii="Arial" w:hAnsi="Arial" w:cs="Arial"/>
          <w:lang w:eastAsia="en-US"/>
        </w:rPr>
      </w:pPr>
      <w:r w:rsidRPr="008E68BA">
        <w:rPr>
          <w:rFonts w:ascii="Arial" w:hAnsi="Arial" w:cs="Arial"/>
        </w:rPr>
        <w:t xml:space="preserve">Note </w:t>
      </w:r>
      <w:r w:rsidR="00C24FA8" w:rsidRPr="008E68BA">
        <w:rPr>
          <w:rFonts w:ascii="Arial" w:hAnsi="Arial" w:cs="Arial"/>
        </w:rPr>
        <w:t xml:space="preserve">the </w:t>
      </w:r>
      <w:r w:rsidRPr="008E68BA">
        <w:rPr>
          <w:rFonts w:ascii="Arial" w:hAnsi="Arial" w:cs="Arial"/>
        </w:rPr>
        <w:t>contribution of the IPCT to GGC response to COVID-19.</w:t>
      </w:r>
    </w:p>
    <w:p w14:paraId="152B7F7A" w14:textId="77777777" w:rsidR="00F31261" w:rsidRPr="008E68BA" w:rsidRDefault="00F31261" w:rsidP="008E68BA">
      <w:pPr>
        <w:rPr>
          <w:rFonts w:ascii="Arial" w:hAnsi="Arial" w:cs="Arial"/>
          <w:b/>
        </w:rPr>
      </w:pPr>
    </w:p>
    <w:p w14:paraId="40C625D7" w14:textId="77777777" w:rsidR="00F31261" w:rsidRPr="008E68BA" w:rsidRDefault="00F31261" w:rsidP="008E68BA">
      <w:pPr>
        <w:numPr>
          <w:ilvl w:val="0"/>
          <w:numId w:val="21"/>
        </w:numPr>
        <w:spacing w:after="58" w:line="259" w:lineRule="auto"/>
        <w:ind w:left="360"/>
        <w:rPr>
          <w:rFonts w:ascii="Arial" w:hAnsi="Arial" w:cs="Arial"/>
          <w:b/>
        </w:rPr>
      </w:pPr>
      <w:r w:rsidRPr="008E68BA">
        <w:rPr>
          <w:rFonts w:ascii="Arial" w:hAnsi="Arial" w:cs="Arial"/>
          <w:b/>
        </w:rPr>
        <w:t>Response Required</w:t>
      </w:r>
    </w:p>
    <w:p w14:paraId="0CA67DA1" w14:textId="77777777" w:rsidR="00F31261" w:rsidRPr="008E68BA" w:rsidRDefault="00F31261" w:rsidP="008E68BA">
      <w:pPr>
        <w:spacing w:after="58" w:line="259" w:lineRule="auto"/>
        <w:rPr>
          <w:rFonts w:ascii="Arial" w:hAnsi="Arial" w:cs="Arial"/>
          <w:b/>
        </w:rPr>
      </w:pPr>
    </w:p>
    <w:p w14:paraId="6A2E38C4" w14:textId="77777777" w:rsidR="00F31261" w:rsidRPr="008E68BA" w:rsidRDefault="00F31261" w:rsidP="008E68BA">
      <w:pPr>
        <w:spacing w:after="58" w:line="259" w:lineRule="auto"/>
        <w:rPr>
          <w:rFonts w:ascii="Arial" w:hAnsi="Arial" w:cs="Arial"/>
          <w:b/>
          <w:u w:val="single"/>
        </w:rPr>
      </w:pPr>
      <w:r w:rsidRPr="008E68BA">
        <w:rPr>
          <w:rFonts w:ascii="Arial" w:hAnsi="Arial" w:cs="Arial"/>
          <w:b/>
        </w:rPr>
        <w:t xml:space="preserve">This paper is presented for </w:t>
      </w:r>
      <w:r w:rsidRPr="008E68BA">
        <w:rPr>
          <w:rFonts w:ascii="Arial" w:hAnsi="Arial" w:cs="Arial"/>
          <w:b/>
          <w:u w:val="single"/>
        </w:rPr>
        <w:t>assurance</w:t>
      </w:r>
    </w:p>
    <w:p w14:paraId="0A44A8A6" w14:textId="77777777" w:rsidR="00F31261" w:rsidRPr="008E68BA" w:rsidRDefault="00F31261" w:rsidP="008E68BA">
      <w:pPr>
        <w:spacing w:after="58" w:line="259" w:lineRule="auto"/>
        <w:rPr>
          <w:rFonts w:ascii="Arial" w:hAnsi="Arial" w:cs="Arial"/>
        </w:rPr>
      </w:pPr>
    </w:p>
    <w:p w14:paraId="07069BEF" w14:textId="77777777" w:rsidR="00F31261" w:rsidRPr="008E68BA" w:rsidRDefault="00F31261" w:rsidP="008E68BA">
      <w:pPr>
        <w:numPr>
          <w:ilvl w:val="0"/>
          <w:numId w:val="21"/>
        </w:numPr>
        <w:spacing w:after="58" w:line="259" w:lineRule="auto"/>
        <w:ind w:left="360"/>
        <w:rPr>
          <w:rFonts w:ascii="Arial" w:hAnsi="Arial" w:cs="Arial"/>
          <w:b/>
        </w:rPr>
      </w:pPr>
      <w:r w:rsidRPr="008E68BA">
        <w:rPr>
          <w:rFonts w:ascii="Arial" w:hAnsi="Arial" w:cs="Arial"/>
          <w:b/>
        </w:rPr>
        <w:t>Impact Assessment</w:t>
      </w:r>
    </w:p>
    <w:p w14:paraId="2398D912" w14:textId="77777777" w:rsidR="00F31261" w:rsidRPr="008E68BA" w:rsidRDefault="00F31261" w:rsidP="008E68BA">
      <w:pPr>
        <w:spacing w:after="58" w:line="259" w:lineRule="auto"/>
        <w:ind w:left="360"/>
        <w:rPr>
          <w:rFonts w:ascii="Arial" w:hAnsi="Arial" w:cs="Arial"/>
          <w:b/>
        </w:rPr>
      </w:pPr>
    </w:p>
    <w:p w14:paraId="39CC58B0" w14:textId="77777777" w:rsidR="00F31261" w:rsidRPr="008E68BA" w:rsidRDefault="00F31261" w:rsidP="008E68BA">
      <w:pPr>
        <w:spacing w:after="58" w:line="259" w:lineRule="auto"/>
        <w:rPr>
          <w:rFonts w:ascii="Arial" w:hAnsi="Arial" w:cs="Arial"/>
          <w:i/>
        </w:rPr>
      </w:pPr>
      <w:r w:rsidRPr="008E68BA">
        <w:rPr>
          <w:rFonts w:ascii="Arial" w:hAnsi="Arial" w:cs="Arial"/>
          <w:b/>
        </w:rPr>
        <w:t>The impact of this paper on NHSGGC’s corporate aims, approach to equality and diversity and environmental impact are assessed as follows</w:t>
      </w:r>
      <w:r w:rsidRPr="008E68BA">
        <w:rPr>
          <w:rFonts w:ascii="Arial" w:hAnsi="Arial" w:cs="Arial"/>
        </w:rPr>
        <w:t xml:space="preserve">: </w:t>
      </w:r>
    </w:p>
    <w:p w14:paraId="6F7326E9" w14:textId="77777777" w:rsidR="00F31261" w:rsidRPr="008E68BA" w:rsidRDefault="00F31261" w:rsidP="008E68BA">
      <w:pPr>
        <w:spacing w:after="58" w:line="259" w:lineRule="auto"/>
        <w:rPr>
          <w:rFonts w:ascii="Arial" w:hAnsi="Arial" w:cs="Arial"/>
        </w:rPr>
      </w:pPr>
      <w:bookmarkStart w:id="0" w:name="_GoBack"/>
      <w:bookmarkEnd w:id="0"/>
    </w:p>
    <w:p w14:paraId="2FA8A3B8" w14:textId="3D7D30B8" w:rsidR="00F31261" w:rsidRPr="008E68BA" w:rsidRDefault="00F31261" w:rsidP="008E68BA">
      <w:pPr>
        <w:numPr>
          <w:ilvl w:val="0"/>
          <w:numId w:val="20"/>
        </w:numPr>
        <w:spacing w:after="58" w:line="259" w:lineRule="auto"/>
        <w:ind w:left="349" w:hanging="283"/>
        <w:rPr>
          <w:rFonts w:ascii="Arial" w:hAnsi="Arial" w:cs="Arial"/>
          <w:b/>
        </w:rPr>
      </w:pPr>
      <w:r w:rsidRPr="008E68BA">
        <w:rPr>
          <w:rFonts w:ascii="Arial" w:hAnsi="Arial" w:cs="Arial"/>
          <w:b/>
        </w:rPr>
        <w:t xml:space="preserve">Better Health </w:t>
      </w:r>
      <w:r w:rsidRPr="008E68BA">
        <w:rPr>
          <w:rFonts w:ascii="Arial" w:hAnsi="Arial" w:cs="Arial"/>
          <w:b/>
        </w:rPr>
        <w:tab/>
      </w:r>
      <w:r w:rsidRPr="008E68BA">
        <w:rPr>
          <w:rFonts w:ascii="Arial" w:hAnsi="Arial" w:cs="Arial"/>
          <w:b/>
        </w:rPr>
        <w:tab/>
      </w:r>
      <w:r w:rsidRPr="008E68BA">
        <w:rPr>
          <w:rFonts w:ascii="Arial" w:hAnsi="Arial" w:cs="Arial"/>
        </w:rPr>
        <w:t xml:space="preserve">Positive </w:t>
      </w:r>
    </w:p>
    <w:p w14:paraId="739D930C" w14:textId="436CBC36" w:rsidR="00F31261" w:rsidRPr="008E68BA" w:rsidRDefault="00F31261" w:rsidP="008E68BA">
      <w:pPr>
        <w:numPr>
          <w:ilvl w:val="0"/>
          <w:numId w:val="20"/>
        </w:numPr>
        <w:spacing w:after="58" w:line="259" w:lineRule="auto"/>
        <w:ind w:left="349" w:hanging="283"/>
        <w:rPr>
          <w:rFonts w:ascii="Arial" w:hAnsi="Arial" w:cs="Arial"/>
          <w:b/>
        </w:rPr>
      </w:pPr>
      <w:r w:rsidRPr="008E68BA">
        <w:rPr>
          <w:rFonts w:ascii="Arial" w:hAnsi="Arial" w:cs="Arial"/>
          <w:b/>
        </w:rPr>
        <w:t xml:space="preserve">Better Care </w:t>
      </w:r>
      <w:r w:rsidRPr="008E68BA">
        <w:rPr>
          <w:rFonts w:ascii="Arial" w:hAnsi="Arial" w:cs="Arial"/>
          <w:b/>
        </w:rPr>
        <w:tab/>
      </w:r>
      <w:r w:rsidRPr="008E68BA">
        <w:rPr>
          <w:rFonts w:ascii="Arial" w:hAnsi="Arial" w:cs="Arial"/>
          <w:b/>
        </w:rPr>
        <w:tab/>
      </w:r>
      <w:r w:rsidRPr="008E68BA">
        <w:rPr>
          <w:rFonts w:ascii="Arial" w:hAnsi="Arial" w:cs="Arial"/>
        </w:rPr>
        <w:t xml:space="preserve">Positive </w:t>
      </w:r>
    </w:p>
    <w:p w14:paraId="7F1F1EF4" w14:textId="4BB03EF9" w:rsidR="00F31261" w:rsidRPr="008E68BA" w:rsidRDefault="00F31261" w:rsidP="008E68BA">
      <w:pPr>
        <w:numPr>
          <w:ilvl w:val="0"/>
          <w:numId w:val="20"/>
        </w:numPr>
        <w:spacing w:after="58" w:line="259" w:lineRule="auto"/>
        <w:ind w:left="349" w:hanging="283"/>
        <w:rPr>
          <w:rFonts w:ascii="Arial" w:hAnsi="Arial" w:cs="Arial"/>
          <w:b/>
        </w:rPr>
      </w:pPr>
      <w:r w:rsidRPr="008E68BA">
        <w:rPr>
          <w:rFonts w:ascii="Arial" w:hAnsi="Arial" w:cs="Arial"/>
          <w:b/>
        </w:rPr>
        <w:t>Better Value</w:t>
      </w:r>
      <w:r w:rsidRPr="008E68BA">
        <w:rPr>
          <w:rFonts w:ascii="Arial" w:hAnsi="Arial" w:cs="Arial"/>
          <w:b/>
        </w:rPr>
        <w:tab/>
      </w:r>
      <w:r w:rsidRPr="008E68BA">
        <w:rPr>
          <w:rFonts w:ascii="Arial" w:hAnsi="Arial" w:cs="Arial"/>
          <w:b/>
        </w:rPr>
        <w:tab/>
      </w:r>
      <w:r w:rsidRPr="008E68BA">
        <w:rPr>
          <w:rFonts w:ascii="Arial" w:hAnsi="Arial" w:cs="Arial"/>
        </w:rPr>
        <w:t xml:space="preserve">Positive </w:t>
      </w:r>
    </w:p>
    <w:p w14:paraId="67F3708C" w14:textId="53785DB8" w:rsidR="00F31261" w:rsidRPr="008E68BA" w:rsidRDefault="00F31261" w:rsidP="008E68BA">
      <w:pPr>
        <w:numPr>
          <w:ilvl w:val="0"/>
          <w:numId w:val="20"/>
        </w:numPr>
        <w:spacing w:after="58" w:line="259" w:lineRule="auto"/>
        <w:ind w:left="349" w:hanging="283"/>
        <w:rPr>
          <w:rFonts w:ascii="Arial" w:hAnsi="Arial" w:cs="Arial"/>
          <w:b/>
        </w:rPr>
      </w:pPr>
      <w:r w:rsidRPr="008E68BA">
        <w:rPr>
          <w:rFonts w:ascii="Arial" w:hAnsi="Arial" w:cs="Arial"/>
          <w:b/>
        </w:rPr>
        <w:t>Better Workplace</w:t>
      </w:r>
      <w:r w:rsidRPr="008E68BA">
        <w:rPr>
          <w:rFonts w:ascii="Arial" w:hAnsi="Arial" w:cs="Arial"/>
          <w:b/>
        </w:rPr>
        <w:tab/>
      </w:r>
      <w:r w:rsidRPr="008E68BA">
        <w:rPr>
          <w:rFonts w:ascii="Arial" w:hAnsi="Arial" w:cs="Arial"/>
        </w:rPr>
        <w:t xml:space="preserve">Neutral </w:t>
      </w:r>
    </w:p>
    <w:p w14:paraId="01319915" w14:textId="2CABBCD7" w:rsidR="00F31261" w:rsidRPr="008E68BA" w:rsidRDefault="00F31261" w:rsidP="008E68BA">
      <w:pPr>
        <w:numPr>
          <w:ilvl w:val="0"/>
          <w:numId w:val="20"/>
        </w:numPr>
        <w:spacing w:after="58" w:line="259" w:lineRule="auto"/>
        <w:ind w:left="349" w:hanging="283"/>
        <w:rPr>
          <w:rFonts w:ascii="Arial" w:hAnsi="Arial" w:cs="Arial"/>
          <w:b/>
        </w:rPr>
      </w:pPr>
      <w:r w:rsidRPr="008E68BA">
        <w:rPr>
          <w:rFonts w:ascii="Arial" w:hAnsi="Arial" w:cs="Arial"/>
          <w:b/>
        </w:rPr>
        <w:t>Equality &amp; Diversity</w:t>
      </w:r>
      <w:r w:rsidRPr="008E68BA">
        <w:rPr>
          <w:rFonts w:ascii="Arial" w:hAnsi="Arial" w:cs="Arial"/>
          <w:b/>
        </w:rPr>
        <w:tab/>
      </w:r>
      <w:r w:rsidRPr="008E68BA">
        <w:rPr>
          <w:rFonts w:ascii="Arial" w:hAnsi="Arial" w:cs="Arial"/>
        </w:rPr>
        <w:t>Neutral</w:t>
      </w:r>
      <w:r w:rsidRPr="008E68BA">
        <w:rPr>
          <w:rFonts w:ascii="Arial" w:hAnsi="Arial" w:cs="Arial"/>
          <w:b/>
        </w:rPr>
        <w:t xml:space="preserve"> </w:t>
      </w:r>
    </w:p>
    <w:p w14:paraId="66CA7585" w14:textId="196401F4" w:rsidR="00F31261" w:rsidRPr="008E68BA" w:rsidRDefault="00F31261" w:rsidP="008E68BA">
      <w:pPr>
        <w:numPr>
          <w:ilvl w:val="0"/>
          <w:numId w:val="20"/>
        </w:numPr>
        <w:spacing w:after="58" w:line="259" w:lineRule="auto"/>
        <w:ind w:left="349" w:hanging="283"/>
        <w:rPr>
          <w:rFonts w:ascii="Arial" w:hAnsi="Arial" w:cs="Arial"/>
        </w:rPr>
      </w:pPr>
      <w:r w:rsidRPr="008E68BA">
        <w:rPr>
          <w:rFonts w:ascii="Arial" w:hAnsi="Arial" w:cs="Arial"/>
          <w:b/>
        </w:rPr>
        <w:t xml:space="preserve">Environment </w:t>
      </w:r>
      <w:r w:rsidRPr="008E68BA">
        <w:rPr>
          <w:rFonts w:ascii="Arial" w:hAnsi="Arial" w:cs="Arial"/>
          <w:b/>
        </w:rPr>
        <w:tab/>
      </w:r>
      <w:r w:rsidRPr="008E68BA">
        <w:rPr>
          <w:rFonts w:ascii="Arial" w:hAnsi="Arial" w:cs="Arial"/>
          <w:b/>
        </w:rPr>
        <w:tab/>
      </w:r>
      <w:r w:rsidRPr="008E68BA">
        <w:rPr>
          <w:rFonts w:ascii="Arial" w:hAnsi="Arial" w:cs="Arial"/>
        </w:rPr>
        <w:t xml:space="preserve">Positive </w:t>
      </w:r>
    </w:p>
    <w:p w14:paraId="000B66AF" w14:textId="77777777" w:rsidR="00F31261" w:rsidRPr="008E68BA" w:rsidRDefault="00F31261" w:rsidP="008E68BA">
      <w:pPr>
        <w:spacing w:line="259" w:lineRule="auto"/>
        <w:ind w:left="352" w:firstLine="720"/>
        <w:rPr>
          <w:rFonts w:ascii="Arial" w:hAnsi="Arial" w:cs="Arial"/>
        </w:rPr>
      </w:pPr>
    </w:p>
    <w:p w14:paraId="506EEDB6" w14:textId="77777777" w:rsidR="00F31261" w:rsidRPr="008E68BA" w:rsidRDefault="00F31261" w:rsidP="008E68BA">
      <w:pPr>
        <w:pStyle w:val="Heading4"/>
        <w:keepLines w:val="0"/>
        <w:numPr>
          <w:ilvl w:val="0"/>
          <w:numId w:val="21"/>
        </w:numPr>
        <w:spacing w:before="120"/>
        <w:ind w:left="357" w:hanging="357"/>
        <w:rPr>
          <w:rFonts w:ascii="Arial" w:hAnsi="Arial" w:cs="Arial"/>
          <w:i w:val="0"/>
        </w:rPr>
      </w:pPr>
      <w:r w:rsidRPr="008E68BA">
        <w:rPr>
          <w:rFonts w:ascii="Arial" w:hAnsi="Arial" w:cs="Arial"/>
          <w:i w:val="0"/>
          <w:color w:val="auto"/>
        </w:rPr>
        <w:t>Engagement &amp; Communications</w:t>
      </w:r>
    </w:p>
    <w:p w14:paraId="4AA24A6A" w14:textId="77777777" w:rsidR="006B40AA" w:rsidRPr="008E68BA" w:rsidRDefault="006B40AA" w:rsidP="008E68BA">
      <w:pPr>
        <w:rPr>
          <w:rFonts w:ascii="Arial" w:hAnsi="Arial" w:cs="Arial"/>
          <w:b/>
        </w:rPr>
      </w:pPr>
    </w:p>
    <w:p w14:paraId="4F0DB02E" w14:textId="77777777" w:rsidR="00F31261" w:rsidRPr="008E68BA" w:rsidRDefault="00F31261" w:rsidP="008E68BA">
      <w:pPr>
        <w:rPr>
          <w:rFonts w:ascii="Arial" w:hAnsi="Arial" w:cs="Arial"/>
          <w:b/>
        </w:rPr>
      </w:pPr>
      <w:r w:rsidRPr="008E68BA">
        <w:rPr>
          <w:rFonts w:ascii="Arial" w:hAnsi="Arial" w:cs="Arial"/>
          <w:b/>
        </w:rPr>
        <w:t>The issues addressed in this paper were subject to discussion with the Infection Prevention and Control (IPC) Team and the IPC Surveillance Team. Comments were also taken into consideration from the below groups when reviewing the content and format following presentation:</w:t>
      </w:r>
    </w:p>
    <w:p w14:paraId="5B2CAF39" w14:textId="77777777" w:rsidR="00F31261" w:rsidRPr="008E68BA" w:rsidRDefault="00F31261" w:rsidP="008E68BA">
      <w:pPr>
        <w:ind w:right="141"/>
        <w:rPr>
          <w:rFonts w:ascii="Arial" w:hAnsi="Arial" w:cs="Arial"/>
        </w:rPr>
      </w:pPr>
      <w:r w:rsidRPr="008E68BA">
        <w:rPr>
          <w:rFonts w:ascii="Arial" w:hAnsi="Arial" w:cs="Arial"/>
        </w:rPr>
        <w:t xml:space="preserve"> </w:t>
      </w:r>
    </w:p>
    <w:p w14:paraId="761C8A2E" w14:textId="77777777" w:rsidR="00D837F5" w:rsidRPr="008E68BA" w:rsidRDefault="00F31261" w:rsidP="008E68BA">
      <w:pPr>
        <w:pStyle w:val="ListParagraph"/>
        <w:numPr>
          <w:ilvl w:val="0"/>
          <w:numId w:val="22"/>
        </w:numPr>
        <w:ind w:right="141"/>
        <w:rPr>
          <w:rFonts w:ascii="Arial" w:hAnsi="Arial" w:cs="Arial"/>
        </w:rPr>
      </w:pPr>
      <w:r w:rsidRPr="008E68BA">
        <w:rPr>
          <w:rFonts w:ascii="Arial" w:hAnsi="Arial" w:cs="Arial"/>
        </w:rPr>
        <w:t>Acute Infection Control Committee (AICC),</w:t>
      </w:r>
    </w:p>
    <w:p w14:paraId="45746B99" w14:textId="4DDC5D51" w:rsidR="00F31261" w:rsidRPr="008E68BA" w:rsidRDefault="00D837F5" w:rsidP="008E68BA">
      <w:pPr>
        <w:pStyle w:val="ListParagraph"/>
        <w:numPr>
          <w:ilvl w:val="0"/>
          <w:numId w:val="22"/>
        </w:numPr>
        <w:ind w:right="141"/>
        <w:rPr>
          <w:rFonts w:ascii="Arial" w:hAnsi="Arial" w:cs="Arial"/>
        </w:rPr>
      </w:pPr>
      <w:r w:rsidRPr="008E68BA">
        <w:rPr>
          <w:rFonts w:ascii="Arial" w:hAnsi="Arial" w:cs="Arial"/>
        </w:rPr>
        <w:t xml:space="preserve">Board Infection Control Committee (BICC), </w:t>
      </w:r>
      <w:r w:rsidR="00F31261" w:rsidRPr="008E68BA">
        <w:rPr>
          <w:rFonts w:ascii="Arial" w:hAnsi="Arial" w:cs="Arial"/>
        </w:rPr>
        <w:t xml:space="preserve"> </w:t>
      </w:r>
    </w:p>
    <w:p w14:paraId="1E509E2E" w14:textId="77777777" w:rsidR="00F31261" w:rsidRPr="008E68BA" w:rsidRDefault="00F31261" w:rsidP="008E68BA">
      <w:pPr>
        <w:pStyle w:val="ListParagraph"/>
        <w:numPr>
          <w:ilvl w:val="0"/>
          <w:numId w:val="22"/>
        </w:numPr>
        <w:ind w:right="141"/>
        <w:rPr>
          <w:rFonts w:ascii="Arial" w:hAnsi="Arial" w:cs="Arial"/>
        </w:rPr>
      </w:pPr>
      <w:r w:rsidRPr="008E68BA">
        <w:rPr>
          <w:rFonts w:ascii="Arial" w:hAnsi="Arial" w:cs="Arial"/>
        </w:rPr>
        <w:t>Partnerships Infection Control Support Group (PICSG), and</w:t>
      </w:r>
    </w:p>
    <w:p w14:paraId="15D11D23" w14:textId="77777777" w:rsidR="00F31261" w:rsidRPr="008E68BA" w:rsidRDefault="00F31261" w:rsidP="008E68BA">
      <w:pPr>
        <w:pStyle w:val="ListParagraph"/>
        <w:numPr>
          <w:ilvl w:val="0"/>
          <w:numId w:val="22"/>
        </w:numPr>
        <w:ind w:right="141"/>
        <w:rPr>
          <w:rFonts w:ascii="Arial" w:hAnsi="Arial" w:cs="Arial"/>
        </w:rPr>
      </w:pPr>
      <w:r w:rsidRPr="008E68BA">
        <w:rPr>
          <w:rFonts w:ascii="Arial" w:hAnsi="Arial" w:cs="Arial"/>
        </w:rPr>
        <w:t xml:space="preserve">Board Clinical Governance Forum. </w:t>
      </w:r>
    </w:p>
    <w:p w14:paraId="125773B3" w14:textId="77777777" w:rsidR="00F31261" w:rsidRPr="008E68BA" w:rsidRDefault="00F31261" w:rsidP="008E68BA">
      <w:pPr>
        <w:spacing w:after="19" w:line="259" w:lineRule="auto"/>
        <w:rPr>
          <w:rFonts w:ascii="Arial" w:hAnsi="Arial" w:cs="Arial"/>
        </w:rPr>
      </w:pPr>
    </w:p>
    <w:p w14:paraId="3FFE6568" w14:textId="77777777" w:rsidR="00F31261" w:rsidRPr="008E68BA" w:rsidRDefault="00F31261" w:rsidP="008E68BA">
      <w:pPr>
        <w:pStyle w:val="Heading4"/>
        <w:keepLines w:val="0"/>
        <w:numPr>
          <w:ilvl w:val="0"/>
          <w:numId w:val="21"/>
        </w:numPr>
        <w:spacing w:before="120"/>
        <w:ind w:left="357" w:hanging="357"/>
        <w:rPr>
          <w:rFonts w:ascii="Arial" w:hAnsi="Arial" w:cs="Arial"/>
          <w:i w:val="0"/>
          <w:color w:val="auto"/>
        </w:rPr>
      </w:pPr>
      <w:r w:rsidRPr="008E68BA">
        <w:rPr>
          <w:rFonts w:ascii="Arial" w:hAnsi="Arial" w:cs="Arial"/>
          <w:i w:val="0"/>
          <w:color w:val="auto"/>
        </w:rPr>
        <w:t xml:space="preserve">Governance Route  </w:t>
      </w:r>
    </w:p>
    <w:p w14:paraId="1D851648" w14:textId="77777777" w:rsidR="00F31261" w:rsidRPr="008E68BA" w:rsidRDefault="00F31261" w:rsidP="008E68BA">
      <w:pPr>
        <w:spacing w:after="19" w:line="259" w:lineRule="auto"/>
        <w:rPr>
          <w:rFonts w:ascii="Arial" w:hAnsi="Arial" w:cs="Arial"/>
        </w:rPr>
      </w:pPr>
    </w:p>
    <w:p w14:paraId="15B49749" w14:textId="77777777" w:rsidR="00F31261" w:rsidRPr="008E68BA" w:rsidRDefault="00F31261" w:rsidP="008E68BA">
      <w:pPr>
        <w:spacing w:after="48" w:line="268" w:lineRule="auto"/>
        <w:rPr>
          <w:rFonts w:ascii="Arial" w:hAnsi="Arial" w:cs="Arial"/>
        </w:rPr>
      </w:pPr>
      <w:r w:rsidRPr="008E68BA">
        <w:rPr>
          <w:rFonts w:ascii="Arial" w:hAnsi="Arial" w:cs="Arial"/>
          <w:b/>
        </w:rPr>
        <w:t>This paper has been previously considered by the following groups as part of its development</w:t>
      </w:r>
      <w:r w:rsidRPr="008E68BA">
        <w:rPr>
          <w:rFonts w:ascii="Arial" w:hAnsi="Arial" w:cs="Arial"/>
        </w:rPr>
        <w:t xml:space="preserve">: </w:t>
      </w:r>
    </w:p>
    <w:p w14:paraId="4C1C77CD" w14:textId="77777777" w:rsidR="00F31261" w:rsidRPr="008E68BA" w:rsidRDefault="00F31261" w:rsidP="008E68BA">
      <w:pPr>
        <w:spacing w:after="48" w:line="268" w:lineRule="auto"/>
        <w:rPr>
          <w:rFonts w:ascii="Arial" w:hAnsi="Arial" w:cs="Arial"/>
        </w:rPr>
      </w:pPr>
    </w:p>
    <w:p w14:paraId="7B2CDAB8" w14:textId="77777777" w:rsidR="00F31261" w:rsidRPr="008E68BA" w:rsidRDefault="00F31261" w:rsidP="008E68BA">
      <w:pPr>
        <w:pStyle w:val="ListParagraph"/>
        <w:numPr>
          <w:ilvl w:val="0"/>
          <w:numId w:val="22"/>
        </w:numPr>
        <w:ind w:right="141"/>
        <w:rPr>
          <w:rFonts w:ascii="Arial" w:hAnsi="Arial" w:cs="Arial"/>
        </w:rPr>
      </w:pPr>
      <w:r w:rsidRPr="008E68BA">
        <w:rPr>
          <w:rFonts w:ascii="Arial" w:hAnsi="Arial" w:cs="Arial"/>
        </w:rPr>
        <w:t xml:space="preserve">The Infection Prevention and Control Team (IPCT), </w:t>
      </w:r>
    </w:p>
    <w:p w14:paraId="7981DB30" w14:textId="77777777" w:rsidR="00F31261" w:rsidRPr="008E68BA" w:rsidRDefault="00F31261" w:rsidP="008E68BA">
      <w:pPr>
        <w:pStyle w:val="ListParagraph"/>
        <w:numPr>
          <w:ilvl w:val="0"/>
          <w:numId w:val="22"/>
        </w:numPr>
        <w:ind w:right="141"/>
        <w:rPr>
          <w:rFonts w:ascii="Arial" w:hAnsi="Arial" w:cs="Arial"/>
        </w:rPr>
      </w:pPr>
      <w:r w:rsidRPr="008E68BA">
        <w:rPr>
          <w:rFonts w:ascii="Arial" w:hAnsi="Arial" w:cs="Arial"/>
        </w:rPr>
        <w:t xml:space="preserve">Acute Infection Control Committee (AICC), </w:t>
      </w:r>
    </w:p>
    <w:p w14:paraId="5D1C5F3F" w14:textId="507E3706" w:rsidR="00D837F5" w:rsidRPr="008E68BA" w:rsidRDefault="00D837F5" w:rsidP="008E68BA">
      <w:pPr>
        <w:pStyle w:val="ListParagraph"/>
        <w:numPr>
          <w:ilvl w:val="0"/>
          <w:numId w:val="22"/>
        </w:numPr>
        <w:ind w:right="141"/>
        <w:rPr>
          <w:rFonts w:ascii="Arial" w:hAnsi="Arial" w:cs="Arial"/>
        </w:rPr>
      </w:pPr>
      <w:r w:rsidRPr="008E68BA">
        <w:rPr>
          <w:rFonts w:ascii="Arial" w:hAnsi="Arial" w:cs="Arial"/>
        </w:rPr>
        <w:t xml:space="preserve">Board Infection Control Committee (BICC), </w:t>
      </w:r>
    </w:p>
    <w:p w14:paraId="05C2B256" w14:textId="77777777" w:rsidR="00F31261" w:rsidRPr="008E68BA" w:rsidRDefault="00F31261" w:rsidP="008E68BA">
      <w:pPr>
        <w:pStyle w:val="ListParagraph"/>
        <w:numPr>
          <w:ilvl w:val="0"/>
          <w:numId w:val="22"/>
        </w:numPr>
        <w:ind w:right="141"/>
        <w:rPr>
          <w:rFonts w:ascii="Arial" w:hAnsi="Arial" w:cs="Arial"/>
        </w:rPr>
      </w:pPr>
      <w:r w:rsidRPr="008E68BA">
        <w:rPr>
          <w:rFonts w:ascii="Arial" w:hAnsi="Arial" w:cs="Arial"/>
        </w:rPr>
        <w:t>Partnerships Infection Control Support Group (PICSG), and</w:t>
      </w:r>
    </w:p>
    <w:p w14:paraId="19403508" w14:textId="77777777" w:rsidR="00F31261" w:rsidRPr="008E68BA" w:rsidRDefault="00F31261" w:rsidP="008E68BA">
      <w:pPr>
        <w:pStyle w:val="ListParagraph"/>
        <w:numPr>
          <w:ilvl w:val="0"/>
          <w:numId w:val="22"/>
        </w:numPr>
        <w:ind w:right="141"/>
        <w:rPr>
          <w:rFonts w:ascii="Arial" w:hAnsi="Arial" w:cs="Arial"/>
        </w:rPr>
      </w:pPr>
      <w:r w:rsidRPr="008E68BA">
        <w:rPr>
          <w:rFonts w:ascii="Arial" w:hAnsi="Arial" w:cs="Arial"/>
        </w:rPr>
        <w:t xml:space="preserve">Board Clinical Governance Forum. </w:t>
      </w:r>
    </w:p>
    <w:p w14:paraId="4F3F38B1" w14:textId="77777777" w:rsidR="00F31261" w:rsidRPr="008E68BA" w:rsidRDefault="00F31261" w:rsidP="008E68BA">
      <w:pPr>
        <w:spacing w:after="48" w:line="268" w:lineRule="auto"/>
        <w:rPr>
          <w:rFonts w:ascii="Arial" w:hAnsi="Arial" w:cs="Arial"/>
        </w:rPr>
      </w:pPr>
      <w:r w:rsidRPr="008E68BA">
        <w:rPr>
          <w:rFonts w:ascii="Arial" w:hAnsi="Arial" w:cs="Arial"/>
          <w:i/>
        </w:rPr>
        <w:t xml:space="preserve"> </w:t>
      </w:r>
    </w:p>
    <w:p w14:paraId="476EAE66" w14:textId="77777777" w:rsidR="00F31261" w:rsidRPr="008E68BA" w:rsidRDefault="00F31261" w:rsidP="008E68BA">
      <w:pPr>
        <w:numPr>
          <w:ilvl w:val="0"/>
          <w:numId w:val="21"/>
        </w:numPr>
        <w:spacing w:after="48" w:line="268" w:lineRule="auto"/>
        <w:ind w:left="360"/>
        <w:rPr>
          <w:rFonts w:ascii="Arial" w:hAnsi="Arial" w:cs="Arial"/>
          <w:b/>
        </w:rPr>
      </w:pPr>
      <w:r w:rsidRPr="008E68BA">
        <w:rPr>
          <w:rFonts w:ascii="Arial" w:hAnsi="Arial" w:cs="Arial"/>
          <w:b/>
        </w:rPr>
        <w:t>Date Prepared &amp; Issued</w:t>
      </w:r>
    </w:p>
    <w:p w14:paraId="7C255F8F" w14:textId="77777777" w:rsidR="00F31261" w:rsidRPr="008E68BA" w:rsidRDefault="00F31261" w:rsidP="008E68BA">
      <w:pPr>
        <w:spacing w:after="48" w:line="268" w:lineRule="auto"/>
        <w:rPr>
          <w:rFonts w:ascii="Arial" w:hAnsi="Arial" w:cs="Arial"/>
          <w:b/>
        </w:rPr>
      </w:pPr>
    </w:p>
    <w:p w14:paraId="40CFEF5B" w14:textId="71C0FDF9" w:rsidR="00F31261" w:rsidRPr="008E68BA" w:rsidRDefault="00F31261" w:rsidP="008E68BA">
      <w:pPr>
        <w:spacing w:after="48" w:line="268" w:lineRule="auto"/>
        <w:rPr>
          <w:rFonts w:ascii="Arial" w:hAnsi="Arial" w:cs="Arial"/>
          <w:i/>
        </w:rPr>
      </w:pPr>
      <w:r w:rsidRPr="008E68BA">
        <w:rPr>
          <w:rFonts w:ascii="Arial" w:hAnsi="Arial" w:cs="Arial"/>
          <w:i/>
        </w:rPr>
        <w:t>Date the paper was written:</w:t>
      </w:r>
      <w:r w:rsidR="000E38E9" w:rsidRPr="008E68BA">
        <w:rPr>
          <w:rFonts w:ascii="Arial" w:hAnsi="Arial" w:cs="Arial"/>
          <w:i/>
        </w:rPr>
        <w:t xml:space="preserve"> </w:t>
      </w:r>
      <w:r w:rsidR="00DE2FE8" w:rsidRPr="008E68BA">
        <w:rPr>
          <w:rFonts w:ascii="Arial" w:hAnsi="Arial" w:cs="Arial"/>
          <w:i/>
        </w:rPr>
        <w:t>30</w:t>
      </w:r>
      <w:r w:rsidR="00CA0780" w:rsidRPr="008E68BA">
        <w:rPr>
          <w:rFonts w:ascii="Arial" w:hAnsi="Arial" w:cs="Arial"/>
          <w:i/>
        </w:rPr>
        <w:t>/11</w:t>
      </w:r>
      <w:r w:rsidR="009E307C" w:rsidRPr="008E68BA">
        <w:rPr>
          <w:rFonts w:ascii="Arial" w:hAnsi="Arial" w:cs="Arial"/>
          <w:i/>
        </w:rPr>
        <w:t>/2021</w:t>
      </w:r>
    </w:p>
    <w:p w14:paraId="041E3A06" w14:textId="403F4C95" w:rsidR="0048779B" w:rsidRPr="008E68BA" w:rsidRDefault="00F31261" w:rsidP="008E68BA">
      <w:pPr>
        <w:spacing w:after="48" w:line="268" w:lineRule="auto"/>
        <w:rPr>
          <w:rFonts w:ascii="Arial" w:hAnsi="Arial" w:cs="Arial"/>
          <w:i/>
        </w:rPr>
      </w:pPr>
      <w:r w:rsidRPr="008E68BA">
        <w:rPr>
          <w:rFonts w:ascii="Arial" w:hAnsi="Arial" w:cs="Arial"/>
          <w:i/>
        </w:rPr>
        <w:t xml:space="preserve">Date issued to </w:t>
      </w:r>
      <w:r w:rsidR="00DE2FE8" w:rsidRPr="008E68BA">
        <w:rPr>
          <w:rFonts w:ascii="Arial" w:hAnsi="Arial" w:cs="Arial"/>
          <w:i/>
        </w:rPr>
        <w:t>the NHS Board</w:t>
      </w:r>
      <w:r w:rsidR="00CE7342" w:rsidRPr="008E68BA">
        <w:rPr>
          <w:rFonts w:ascii="Arial" w:hAnsi="Arial" w:cs="Arial"/>
          <w:i/>
        </w:rPr>
        <w:t xml:space="preserve"> on: </w:t>
      </w:r>
      <w:r w:rsidR="00331257" w:rsidRPr="008E68BA">
        <w:rPr>
          <w:rFonts w:ascii="Arial" w:hAnsi="Arial" w:cs="Arial"/>
          <w:i/>
        </w:rPr>
        <w:t>1</w:t>
      </w:r>
      <w:r w:rsidR="00394BF8" w:rsidRPr="008E68BA">
        <w:rPr>
          <w:rFonts w:ascii="Arial" w:hAnsi="Arial" w:cs="Arial"/>
          <w:i/>
        </w:rPr>
        <w:t>5</w:t>
      </w:r>
      <w:r w:rsidR="00331257" w:rsidRPr="008E68BA">
        <w:rPr>
          <w:rFonts w:ascii="Arial" w:hAnsi="Arial" w:cs="Arial"/>
          <w:i/>
        </w:rPr>
        <w:t>/12/2021</w:t>
      </w:r>
    </w:p>
    <w:p w14:paraId="16A4A1FE" w14:textId="77777777" w:rsidR="00F31261" w:rsidRPr="008E68BA" w:rsidRDefault="00F31261" w:rsidP="008E68BA">
      <w:pPr>
        <w:spacing w:after="48" w:line="268" w:lineRule="auto"/>
        <w:rPr>
          <w:rFonts w:ascii="Arial" w:hAnsi="Arial" w:cs="Arial"/>
          <w:i/>
          <w:color w:val="FF0000"/>
        </w:rPr>
      </w:pPr>
    </w:p>
    <w:p w14:paraId="44E74E63" w14:textId="77777777" w:rsidR="00CF0A26" w:rsidRPr="008E68BA" w:rsidRDefault="00CF0A26" w:rsidP="008E68BA">
      <w:pPr>
        <w:rPr>
          <w:rFonts w:ascii="Arial" w:hAnsi="Arial" w:cs="Arial"/>
          <w:b/>
        </w:rPr>
      </w:pPr>
      <w:r w:rsidRPr="008E68BA">
        <w:rPr>
          <w:rFonts w:ascii="Arial" w:hAnsi="Arial" w:cs="Arial"/>
          <w:b/>
        </w:rPr>
        <w:br w:type="page"/>
      </w:r>
    </w:p>
    <w:p w14:paraId="78B6FFE2" w14:textId="6A46470C" w:rsidR="008B18E1" w:rsidRPr="008E68BA" w:rsidRDefault="006A295C" w:rsidP="008E68BA">
      <w:pPr>
        <w:rPr>
          <w:rStyle w:val="IntenseEmphasis"/>
          <w:rFonts w:ascii="Arial" w:hAnsi="Arial" w:cs="Arial"/>
          <w:b w:val="0"/>
          <w:bCs w:val="0"/>
          <w:i w:val="0"/>
          <w:iCs w:val="0"/>
          <w:color w:val="auto"/>
        </w:rPr>
      </w:pPr>
      <w:r w:rsidRPr="008E68BA">
        <w:rPr>
          <w:rStyle w:val="IntenseEmphasis"/>
          <w:rFonts w:ascii="Arial" w:hAnsi="Arial" w:cs="Arial"/>
          <w:i w:val="0"/>
          <w:color w:val="000000"/>
        </w:rPr>
        <w:lastRenderedPageBreak/>
        <w:t xml:space="preserve">Healthcare Associated Infection Summary – </w:t>
      </w:r>
      <w:r w:rsidR="000454E5" w:rsidRPr="008E68BA">
        <w:rPr>
          <w:rStyle w:val="IntenseEmphasis"/>
          <w:rFonts w:ascii="Arial" w:hAnsi="Arial" w:cs="Arial"/>
          <w:i w:val="0"/>
          <w:color w:val="000000" w:themeColor="text1"/>
        </w:rPr>
        <w:t>September and October 2021</w:t>
      </w:r>
    </w:p>
    <w:p w14:paraId="1F836BBA" w14:textId="77777777" w:rsidR="001C2124" w:rsidRPr="008E68BA" w:rsidRDefault="001C2124" w:rsidP="008E68BA">
      <w:pPr>
        <w:ind w:right="170"/>
        <w:rPr>
          <w:rStyle w:val="IntenseEmphasis"/>
          <w:rFonts w:ascii="Arial" w:hAnsi="Arial" w:cs="Arial"/>
          <w:b w:val="0"/>
          <w:i w:val="0"/>
          <w:color w:val="000000"/>
        </w:rPr>
      </w:pPr>
    </w:p>
    <w:tbl>
      <w:tblPr>
        <w:tblStyle w:val="TableGrid"/>
        <w:tblW w:w="9923" w:type="dxa"/>
        <w:tblInd w:w="-147" w:type="dxa"/>
        <w:tblLook w:val="04A0" w:firstRow="1" w:lastRow="0" w:firstColumn="1" w:lastColumn="0" w:noHBand="0" w:noVBand="1"/>
      </w:tblPr>
      <w:tblGrid>
        <w:gridCol w:w="9923"/>
      </w:tblGrid>
      <w:tr w:rsidR="007F49A2" w:rsidRPr="008E68BA" w14:paraId="1A89687A" w14:textId="77777777" w:rsidTr="008E4CA9">
        <w:tc>
          <w:tcPr>
            <w:tcW w:w="9923" w:type="dxa"/>
          </w:tcPr>
          <w:p w14:paraId="0FC88455" w14:textId="77777777" w:rsidR="00BE1546" w:rsidRPr="008E68BA" w:rsidRDefault="003C3DA3" w:rsidP="008E68BA">
            <w:pPr>
              <w:spacing w:before="120" w:after="120"/>
              <w:ind w:right="170"/>
              <w:rPr>
                <w:rStyle w:val="IntenseEmphasis"/>
                <w:rFonts w:ascii="Arial" w:hAnsi="Arial" w:cs="Arial"/>
                <w:b w:val="0"/>
                <w:i w:val="0"/>
                <w:color w:val="000000"/>
              </w:rPr>
            </w:pPr>
            <w:r w:rsidRPr="008E68BA">
              <w:rPr>
                <w:rStyle w:val="IntenseEmphasis"/>
                <w:rFonts w:ascii="Arial" w:hAnsi="Arial" w:cs="Arial"/>
                <w:b w:val="0"/>
                <w:i w:val="0"/>
                <w:color w:val="000000"/>
              </w:rPr>
              <w:t>The HAIRT Report is the national mandatory reporting tool and is presented bi-monthly to the NHS Board.  This is a requirement by the Scottish Government HAI Task Force and informs NHSGGC of activity and performance against Healthcare Associated Infection Standards and performance measures.  This section of the report focuses on NHSGGC Board-wide prevention and control activity and actions.</w:t>
            </w:r>
          </w:p>
        </w:tc>
      </w:tr>
    </w:tbl>
    <w:p w14:paraId="2A6FC360" w14:textId="77777777" w:rsidR="001E57C1" w:rsidRPr="008E68BA" w:rsidRDefault="001E57C1" w:rsidP="008E68BA">
      <w:pPr>
        <w:ind w:right="283"/>
        <w:rPr>
          <w:rStyle w:val="IntenseEmphasis"/>
          <w:rFonts w:ascii="Arial" w:hAnsi="Arial" w:cs="Arial"/>
          <w:i w:val="0"/>
          <w:color w:val="auto"/>
        </w:rPr>
      </w:pPr>
    </w:p>
    <w:p w14:paraId="1CA70D33" w14:textId="77777777" w:rsidR="00B15CC5" w:rsidRPr="008E68BA" w:rsidRDefault="00B15CC5" w:rsidP="008E68BA">
      <w:pPr>
        <w:spacing w:after="120"/>
        <w:ind w:left="-142"/>
        <w:rPr>
          <w:rFonts w:ascii="Arial" w:hAnsi="Arial" w:cs="Arial"/>
        </w:rPr>
      </w:pPr>
      <w:r w:rsidRPr="008E68BA">
        <w:rPr>
          <w:rStyle w:val="IntenseEmphasis"/>
          <w:rFonts w:ascii="Arial" w:hAnsi="Arial" w:cs="Arial"/>
          <w:i w:val="0"/>
          <w:color w:val="auto"/>
        </w:rPr>
        <w:t xml:space="preserve">Performance at a glance relates only to the </w:t>
      </w:r>
      <w:r w:rsidR="00D273CC" w:rsidRPr="008E68BA">
        <w:rPr>
          <w:rStyle w:val="IntenseEmphasis"/>
          <w:rFonts w:ascii="Arial" w:hAnsi="Arial" w:cs="Arial"/>
          <w:i w:val="0"/>
          <w:color w:val="auto"/>
        </w:rPr>
        <w:t xml:space="preserve">two </w:t>
      </w:r>
      <w:r w:rsidRPr="008E68BA">
        <w:rPr>
          <w:rStyle w:val="IntenseEmphasis"/>
          <w:rFonts w:ascii="Arial" w:hAnsi="Arial" w:cs="Arial"/>
          <w:i w:val="0"/>
          <w:color w:val="auto"/>
        </w:rPr>
        <w:t>month</w:t>
      </w:r>
      <w:r w:rsidR="00D273CC" w:rsidRPr="008E68BA">
        <w:rPr>
          <w:rStyle w:val="IntenseEmphasis"/>
          <w:rFonts w:ascii="Arial" w:hAnsi="Arial" w:cs="Arial"/>
          <w:i w:val="0"/>
          <w:color w:val="auto"/>
        </w:rPr>
        <w:t>s</w:t>
      </w:r>
      <w:r w:rsidRPr="008E68BA">
        <w:rPr>
          <w:rStyle w:val="IntenseEmphasis"/>
          <w:rFonts w:ascii="Arial" w:hAnsi="Arial" w:cs="Arial"/>
          <w:i w:val="0"/>
          <w:color w:val="auto"/>
        </w:rPr>
        <w:t xml:space="preserve"> reported and should be viewed in the context of the overall trend in the following pages.  </w:t>
      </w:r>
    </w:p>
    <w:tbl>
      <w:tblPr>
        <w:tblpPr w:leftFromText="180" w:rightFromText="180" w:vertAnchor="text" w:horzAnchor="margin" w:tblpX="-147" w:tblpY="-1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851"/>
        <w:gridCol w:w="850"/>
        <w:gridCol w:w="3119"/>
      </w:tblGrid>
      <w:tr w:rsidR="00206A99" w:rsidRPr="008E68BA" w14:paraId="2E6E5179" w14:textId="77777777" w:rsidTr="008E4CA9">
        <w:tc>
          <w:tcPr>
            <w:tcW w:w="5098" w:type="dxa"/>
            <w:shd w:val="clear" w:color="auto" w:fill="auto"/>
            <w:vAlign w:val="center"/>
          </w:tcPr>
          <w:p w14:paraId="4FB21067" w14:textId="77777777" w:rsidR="00206A99" w:rsidRPr="008E68BA" w:rsidRDefault="00206A99" w:rsidP="008E68BA">
            <w:pPr>
              <w:ind w:right="175"/>
              <w:rPr>
                <w:rStyle w:val="IntenseEmphasis"/>
                <w:rFonts w:ascii="Arial" w:hAnsi="Arial" w:cs="Arial"/>
                <w:i w:val="0"/>
                <w:color w:val="000000"/>
              </w:rPr>
            </w:pPr>
          </w:p>
        </w:tc>
        <w:tc>
          <w:tcPr>
            <w:tcW w:w="851" w:type="dxa"/>
            <w:shd w:val="clear" w:color="auto" w:fill="D5DCE4" w:themeFill="text2" w:themeFillTint="33"/>
            <w:vAlign w:val="center"/>
          </w:tcPr>
          <w:p w14:paraId="6C64DB82" w14:textId="77777777" w:rsidR="00206A99" w:rsidRPr="008E68BA" w:rsidRDefault="00206A99" w:rsidP="008E68BA">
            <w:pPr>
              <w:rPr>
                <w:rStyle w:val="IntenseEmphasis"/>
                <w:rFonts w:ascii="Arial" w:hAnsi="Arial" w:cs="Arial"/>
                <w:i w:val="0"/>
                <w:color w:val="000000" w:themeColor="text1"/>
              </w:rPr>
            </w:pPr>
            <w:r w:rsidRPr="008E68BA">
              <w:rPr>
                <w:rStyle w:val="IntenseEmphasis"/>
                <w:rFonts w:ascii="Arial" w:hAnsi="Arial" w:cs="Arial"/>
                <w:i w:val="0"/>
                <w:color w:val="000000" w:themeColor="text1"/>
              </w:rPr>
              <w:t>Sep</w:t>
            </w:r>
          </w:p>
          <w:p w14:paraId="21BD5489" w14:textId="744601E2" w:rsidR="00206A99" w:rsidRPr="008E68BA" w:rsidRDefault="00206A99" w:rsidP="008E68BA">
            <w:pPr>
              <w:rPr>
                <w:rStyle w:val="IntenseEmphasis"/>
                <w:rFonts w:ascii="Arial" w:hAnsi="Arial" w:cs="Arial"/>
                <w:i w:val="0"/>
                <w:color w:val="000000" w:themeColor="text1"/>
              </w:rPr>
            </w:pPr>
            <w:r w:rsidRPr="008E68BA">
              <w:rPr>
                <w:rStyle w:val="IntenseEmphasis"/>
                <w:rFonts w:ascii="Arial" w:hAnsi="Arial" w:cs="Arial"/>
                <w:i w:val="0"/>
                <w:color w:val="000000" w:themeColor="text1"/>
              </w:rPr>
              <w:t>2021</w:t>
            </w:r>
          </w:p>
        </w:tc>
        <w:tc>
          <w:tcPr>
            <w:tcW w:w="850" w:type="dxa"/>
            <w:shd w:val="clear" w:color="auto" w:fill="D5DCE4" w:themeFill="text2" w:themeFillTint="33"/>
            <w:vAlign w:val="center"/>
          </w:tcPr>
          <w:p w14:paraId="293FABA7" w14:textId="77777777" w:rsidR="00206A99" w:rsidRPr="008E68BA" w:rsidRDefault="00206A99" w:rsidP="008E68BA">
            <w:pPr>
              <w:rPr>
                <w:rStyle w:val="IntenseEmphasis"/>
                <w:rFonts w:ascii="Arial" w:hAnsi="Arial" w:cs="Arial"/>
                <w:i w:val="0"/>
                <w:color w:val="000000" w:themeColor="text1"/>
              </w:rPr>
            </w:pPr>
            <w:r w:rsidRPr="008E68BA">
              <w:rPr>
                <w:rStyle w:val="IntenseEmphasis"/>
                <w:rFonts w:ascii="Arial" w:hAnsi="Arial" w:cs="Arial"/>
                <w:i w:val="0"/>
                <w:color w:val="000000" w:themeColor="text1"/>
              </w:rPr>
              <w:t>Oct</w:t>
            </w:r>
          </w:p>
          <w:p w14:paraId="5927BC6F" w14:textId="0AA8F266" w:rsidR="00206A99" w:rsidRPr="008E68BA" w:rsidRDefault="00206A99" w:rsidP="008E68BA">
            <w:pPr>
              <w:rPr>
                <w:rStyle w:val="IntenseEmphasis"/>
                <w:rFonts w:ascii="Arial" w:hAnsi="Arial" w:cs="Arial"/>
                <w:i w:val="0"/>
                <w:color w:val="000000" w:themeColor="text1"/>
              </w:rPr>
            </w:pPr>
            <w:r w:rsidRPr="008E68BA">
              <w:rPr>
                <w:rStyle w:val="IntenseEmphasis"/>
                <w:rFonts w:ascii="Arial" w:hAnsi="Arial" w:cs="Arial"/>
                <w:i w:val="0"/>
                <w:color w:val="000000" w:themeColor="text1"/>
              </w:rPr>
              <w:t>2021</w:t>
            </w:r>
          </w:p>
        </w:tc>
        <w:tc>
          <w:tcPr>
            <w:tcW w:w="3119" w:type="dxa"/>
            <w:shd w:val="clear" w:color="auto" w:fill="D5DCE4" w:themeFill="text2" w:themeFillTint="33"/>
            <w:vAlign w:val="center"/>
          </w:tcPr>
          <w:p w14:paraId="6474C191" w14:textId="77777777" w:rsidR="00206A99" w:rsidRPr="008E68BA" w:rsidRDefault="00206A99" w:rsidP="008E68BA">
            <w:pPr>
              <w:ind w:left="-108"/>
              <w:rPr>
                <w:rStyle w:val="IntenseEmphasis"/>
                <w:rFonts w:ascii="Arial" w:hAnsi="Arial" w:cs="Arial"/>
                <w:i w:val="0"/>
                <w:color w:val="000000"/>
              </w:rPr>
            </w:pPr>
            <w:r w:rsidRPr="008E68BA">
              <w:rPr>
                <w:rStyle w:val="IntenseEmphasis"/>
                <w:rFonts w:ascii="Arial" w:hAnsi="Arial" w:cs="Arial"/>
                <w:i w:val="0"/>
                <w:color w:val="000000"/>
              </w:rPr>
              <w:t xml:space="preserve">Status toward AOP target (based on  </w:t>
            </w:r>
          </w:p>
          <w:p w14:paraId="6E32D04F" w14:textId="77777777" w:rsidR="00206A99" w:rsidRPr="008E68BA" w:rsidRDefault="00206A99" w:rsidP="008E68BA">
            <w:pPr>
              <w:ind w:left="-108"/>
              <w:rPr>
                <w:rStyle w:val="IntenseEmphasis"/>
                <w:rFonts w:ascii="Arial" w:hAnsi="Arial" w:cs="Arial"/>
                <w:i w:val="0"/>
                <w:strike/>
                <w:color w:val="000000"/>
              </w:rPr>
            </w:pPr>
            <w:r w:rsidRPr="008E68BA">
              <w:rPr>
                <w:rStyle w:val="IntenseEmphasis"/>
                <w:rFonts w:ascii="Arial" w:hAnsi="Arial" w:cs="Arial"/>
                <w:i w:val="0"/>
                <w:color w:val="000000"/>
              </w:rPr>
              <w:t xml:space="preserve">  trajectory to Mar 2022)</w:t>
            </w:r>
          </w:p>
        </w:tc>
      </w:tr>
      <w:tr w:rsidR="001E57C1" w:rsidRPr="008E68BA" w14:paraId="39715B89" w14:textId="77777777" w:rsidTr="00743E54">
        <w:tc>
          <w:tcPr>
            <w:tcW w:w="5098" w:type="dxa"/>
            <w:shd w:val="clear" w:color="auto" w:fill="auto"/>
          </w:tcPr>
          <w:p w14:paraId="593862A7" w14:textId="77777777" w:rsidR="001E57C1" w:rsidRPr="008E68BA" w:rsidRDefault="001E57C1" w:rsidP="008E68BA">
            <w:pPr>
              <w:spacing w:before="40"/>
              <w:ind w:right="34"/>
              <w:rPr>
                <w:rStyle w:val="IntenseEmphasis"/>
                <w:rFonts w:ascii="Arial" w:hAnsi="Arial" w:cs="Arial"/>
                <w:b w:val="0"/>
                <w:i w:val="0"/>
                <w:color w:val="000000"/>
              </w:rPr>
            </w:pPr>
            <w:r w:rsidRPr="008E68BA">
              <w:rPr>
                <w:rFonts w:ascii="Arial" w:hAnsi="Arial" w:cs="Arial"/>
              </w:rPr>
              <w:t xml:space="preserve">Healthcare Associated </w:t>
            </w:r>
            <w:r w:rsidRPr="008E68BA">
              <w:rPr>
                <w:rStyle w:val="IntenseEmphasis"/>
                <w:rFonts w:ascii="Arial" w:hAnsi="Arial" w:cs="Arial"/>
                <w:color w:val="000000"/>
              </w:rPr>
              <w:t>Staphylococcus aureus</w:t>
            </w:r>
            <w:r w:rsidRPr="008E68BA">
              <w:rPr>
                <w:rStyle w:val="IntenseEmphasis"/>
                <w:rFonts w:ascii="Arial" w:hAnsi="Arial" w:cs="Arial"/>
                <w:i w:val="0"/>
                <w:color w:val="000000"/>
              </w:rPr>
              <w:t xml:space="preserve"> bacteraemia (SAB)</w:t>
            </w:r>
          </w:p>
        </w:tc>
        <w:tc>
          <w:tcPr>
            <w:tcW w:w="851" w:type="dxa"/>
            <w:vAlign w:val="center"/>
          </w:tcPr>
          <w:p w14:paraId="632D7662" w14:textId="78D526AF" w:rsidR="001E57C1" w:rsidRPr="008E68BA" w:rsidRDefault="000D09D9" w:rsidP="008E68BA">
            <w:pPr>
              <w:spacing w:before="40"/>
              <w:rPr>
                <w:rStyle w:val="IntenseEmphasis"/>
                <w:rFonts w:ascii="Arial" w:hAnsi="Arial" w:cs="Arial"/>
                <w:i w:val="0"/>
                <w:color w:val="000000"/>
              </w:rPr>
            </w:pPr>
            <w:r w:rsidRPr="008E68BA">
              <w:rPr>
                <w:rStyle w:val="IntenseEmphasis"/>
                <w:rFonts w:ascii="Arial" w:hAnsi="Arial" w:cs="Arial"/>
                <w:i w:val="0"/>
                <w:color w:val="000000"/>
              </w:rPr>
              <w:t>2</w:t>
            </w:r>
            <w:r w:rsidR="00A67055" w:rsidRPr="008E68BA">
              <w:rPr>
                <w:rStyle w:val="IntenseEmphasis"/>
                <w:rFonts w:ascii="Arial" w:hAnsi="Arial" w:cs="Arial"/>
                <w:i w:val="0"/>
                <w:color w:val="000000"/>
              </w:rPr>
              <w:t>5</w:t>
            </w:r>
          </w:p>
        </w:tc>
        <w:tc>
          <w:tcPr>
            <w:tcW w:w="850" w:type="dxa"/>
            <w:shd w:val="clear" w:color="auto" w:fill="auto"/>
            <w:vAlign w:val="center"/>
          </w:tcPr>
          <w:p w14:paraId="62238602" w14:textId="2839EFAA" w:rsidR="001E57C1" w:rsidRPr="008E68BA" w:rsidRDefault="00B10960" w:rsidP="008E68BA">
            <w:pPr>
              <w:spacing w:before="40"/>
              <w:rPr>
                <w:rStyle w:val="IntenseEmphasis"/>
                <w:rFonts w:ascii="Arial" w:hAnsi="Arial" w:cs="Arial"/>
                <w:i w:val="0"/>
                <w:color w:val="000000"/>
              </w:rPr>
            </w:pPr>
            <w:r w:rsidRPr="008E68BA">
              <w:rPr>
                <w:rStyle w:val="IntenseEmphasis"/>
                <w:rFonts w:ascii="Arial" w:hAnsi="Arial" w:cs="Arial"/>
                <w:i w:val="0"/>
                <w:color w:val="000000"/>
              </w:rPr>
              <w:t>26</w:t>
            </w:r>
          </w:p>
        </w:tc>
        <w:tc>
          <w:tcPr>
            <w:tcW w:w="3119" w:type="dxa"/>
          </w:tcPr>
          <w:p w14:paraId="07D8F6F6" w14:textId="77777777" w:rsidR="001E57C1" w:rsidRPr="008E68BA" w:rsidRDefault="001E57C1" w:rsidP="008E68BA">
            <w:pPr>
              <w:spacing w:before="40"/>
              <w:rPr>
                <w:rStyle w:val="IntenseEmphasis"/>
                <w:rFonts w:ascii="Arial" w:hAnsi="Arial" w:cs="Arial"/>
                <w:i w:val="0"/>
                <w:color w:val="000000"/>
              </w:rPr>
            </w:pPr>
            <w:r w:rsidRPr="008E68BA">
              <w:rPr>
                <w:rStyle w:val="IntenseEmphasis"/>
                <w:rFonts w:ascii="Arial" w:hAnsi="Arial" w:cs="Arial"/>
                <w:i w:val="0"/>
                <w:color w:val="000000"/>
              </w:rPr>
              <w:t xml:space="preserve">Above aim </w:t>
            </w:r>
          </w:p>
          <w:p w14:paraId="2986F4FD" w14:textId="77777777" w:rsidR="001E57C1" w:rsidRPr="008E68BA" w:rsidRDefault="001E57C1" w:rsidP="008E68BA">
            <w:pPr>
              <w:spacing w:before="40"/>
              <w:rPr>
                <w:rStyle w:val="IntenseEmphasis"/>
                <w:rFonts w:ascii="Arial" w:hAnsi="Arial" w:cs="Arial"/>
                <w:i w:val="0"/>
                <w:strike/>
                <w:color w:val="000000"/>
              </w:rPr>
            </w:pPr>
            <w:r w:rsidRPr="008E68BA">
              <w:rPr>
                <w:rStyle w:val="IntenseEmphasis"/>
                <w:rFonts w:ascii="Arial" w:hAnsi="Arial" w:cs="Arial"/>
                <w:i w:val="0"/>
                <w:color w:val="000000"/>
              </w:rPr>
              <w:t>(23/ month)</w:t>
            </w:r>
          </w:p>
        </w:tc>
      </w:tr>
      <w:tr w:rsidR="001E57C1" w:rsidRPr="008E68BA" w14:paraId="74BBD0D1" w14:textId="77777777" w:rsidTr="00743E54">
        <w:tc>
          <w:tcPr>
            <w:tcW w:w="5098" w:type="dxa"/>
            <w:shd w:val="clear" w:color="auto" w:fill="auto"/>
          </w:tcPr>
          <w:p w14:paraId="4CD17780" w14:textId="77777777" w:rsidR="001E57C1" w:rsidRPr="008E68BA" w:rsidRDefault="001E57C1" w:rsidP="008E68BA">
            <w:pPr>
              <w:spacing w:before="40"/>
              <w:ind w:right="176"/>
              <w:rPr>
                <w:rStyle w:val="IntenseEmphasis"/>
                <w:rFonts w:ascii="Arial" w:hAnsi="Arial" w:cs="Arial"/>
                <w:b w:val="0"/>
                <w:i w:val="0"/>
                <w:color w:val="000000"/>
              </w:rPr>
            </w:pPr>
            <w:r w:rsidRPr="008E68BA">
              <w:rPr>
                <w:rFonts w:ascii="Arial" w:hAnsi="Arial" w:cs="Arial"/>
              </w:rPr>
              <w:t xml:space="preserve">Healthcare Associated </w:t>
            </w:r>
            <w:proofErr w:type="spellStart"/>
            <w:r w:rsidRPr="008E68BA">
              <w:rPr>
                <w:rStyle w:val="IntenseEmphasis"/>
                <w:rFonts w:ascii="Arial" w:hAnsi="Arial" w:cs="Arial"/>
                <w:color w:val="000000"/>
              </w:rPr>
              <w:t>Clostridioides</w:t>
            </w:r>
            <w:proofErr w:type="spellEnd"/>
            <w:r w:rsidRPr="008E68BA">
              <w:rPr>
                <w:rStyle w:val="IntenseEmphasis"/>
                <w:rFonts w:ascii="Arial" w:hAnsi="Arial" w:cs="Arial"/>
                <w:color w:val="000000"/>
              </w:rPr>
              <w:t xml:space="preserve"> difficile</w:t>
            </w:r>
            <w:r w:rsidRPr="008E68BA">
              <w:rPr>
                <w:rStyle w:val="IntenseEmphasis"/>
                <w:rFonts w:ascii="Arial" w:hAnsi="Arial" w:cs="Arial"/>
                <w:i w:val="0"/>
                <w:color w:val="000000"/>
              </w:rPr>
              <w:t xml:space="preserve"> infection (CDI) </w:t>
            </w:r>
          </w:p>
        </w:tc>
        <w:tc>
          <w:tcPr>
            <w:tcW w:w="851" w:type="dxa"/>
            <w:vAlign w:val="center"/>
          </w:tcPr>
          <w:p w14:paraId="1AE25673" w14:textId="51AC186F" w:rsidR="001E57C1" w:rsidRPr="008E68BA" w:rsidRDefault="00B10960" w:rsidP="008E68BA">
            <w:pPr>
              <w:spacing w:before="40"/>
              <w:rPr>
                <w:rStyle w:val="IntenseEmphasis"/>
                <w:rFonts w:ascii="Arial" w:hAnsi="Arial" w:cs="Arial"/>
                <w:i w:val="0"/>
                <w:color w:val="000000"/>
              </w:rPr>
            </w:pPr>
            <w:r w:rsidRPr="008E68BA">
              <w:rPr>
                <w:rStyle w:val="IntenseEmphasis"/>
                <w:rFonts w:ascii="Arial" w:hAnsi="Arial" w:cs="Arial"/>
                <w:i w:val="0"/>
                <w:color w:val="000000"/>
              </w:rPr>
              <w:t>24</w:t>
            </w:r>
          </w:p>
        </w:tc>
        <w:tc>
          <w:tcPr>
            <w:tcW w:w="850" w:type="dxa"/>
            <w:shd w:val="clear" w:color="auto" w:fill="auto"/>
            <w:vAlign w:val="center"/>
          </w:tcPr>
          <w:p w14:paraId="781B314C" w14:textId="523245B2" w:rsidR="001E57C1" w:rsidRPr="008E68BA" w:rsidRDefault="00B10960" w:rsidP="008E68BA">
            <w:pPr>
              <w:spacing w:before="40"/>
              <w:rPr>
                <w:rStyle w:val="IntenseEmphasis"/>
                <w:rFonts w:ascii="Arial" w:hAnsi="Arial" w:cs="Arial"/>
                <w:i w:val="0"/>
                <w:color w:val="000000"/>
              </w:rPr>
            </w:pPr>
            <w:r w:rsidRPr="008E68BA">
              <w:rPr>
                <w:rStyle w:val="IntenseEmphasis"/>
                <w:rFonts w:ascii="Arial" w:hAnsi="Arial" w:cs="Arial"/>
                <w:i w:val="0"/>
                <w:color w:val="000000"/>
              </w:rPr>
              <w:t>17</w:t>
            </w:r>
          </w:p>
        </w:tc>
        <w:tc>
          <w:tcPr>
            <w:tcW w:w="3119" w:type="dxa"/>
          </w:tcPr>
          <w:p w14:paraId="463F214D" w14:textId="77777777" w:rsidR="001E57C1" w:rsidRPr="008E68BA" w:rsidRDefault="001E57C1" w:rsidP="008E68BA">
            <w:pPr>
              <w:spacing w:before="40"/>
              <w:rPr>
                <w:rStyle w:val="IntenseEmphasis"/>
                <w:rFonts w:ascii="Arial" w:hAnsi="Arial" w:cs="Arial"/>
                <w:i w:val="0"/>
                <w:color w:val="000000"/>
              </w:rPr>
            </w:pPr>
            <w:r w:rsidRPr="008E68BA">
              <w:rPr>
                <w:rStyle w:val="IntenseEmphasis"/>
                <w:rFonts w:ascii="Arial" w:hAnsi="Arial" w:cs="Arial"/>
                <w:i w:val="0"/>
                <w:color w:val="000000"/>
              </w:rPr>
              <w:t xml:space="preserve">Above aim </w:t>
            </w:r>
          </w:p>
          <w:p w14:paraId="7EED6800" w14:textId="77777777" w:rsidR="001E57C1" w:rsidRPr="008E68BA" w:rsidRDefault="001E57C1" w:rsidP="008E68BA">
            <w:pPr>
              <w:spacing w:before="40"/>
              <w:rPr>
                <w:rFonts w:ascii="Arial" w:hAnsi="Arial" w:cs="Arial"/>
                <w:strike/>
              </w:rPr>
            </w:pPr>
            <w:r w:rsidRPr="008E68BA">
              <w:rPr>
                <w:rStyle w:val="IntenseEmphasis"/>
                <w:rFonts w:ascii="Arial" w:hAnsi="Arial" w:cs="Arial"/>
                <w:i w:val="0"/>
                <w:color w:val="000000"/>
              </w:rPr>
              <w:t>(17/ month)</w:t>
            </w:r>
          </w:p>
        </w:tc>
      </w:tr>
      <w:tr w:rsidR="001E57C1" w:rsidRPr="008E68BA" w14:paraId="79978444" w14:textId="77777777" w:rsidTr="00743E54">
        <w:tc>
          <w:tcPr>
            <w:tcW w:w="5098" w:type="dxa"/>
            <w:shd w:val="clear" w:color="auto" w:fill="auto"/>
          </w:tcPr>
          <w:p w14:paraId="6446D5D7" w14:textId="77777777" w:rsidR="001E57C1" w:rsidRPr="008E68BA" w:rsidRDefault="001E57C1" w:rsidP="008E68BA">
            <w:pPr>
              <w:spacing w:before="40"/>
              <w:ind w:right="176"/>
              <w:rPr>
                <w:rStyle w:val="IntenseEmphasis"/>
                <w:rFonts w:ascii="Arial" w:hAnsi="Arial" w:cs="Arial"/>
                <w:b w:val="0"/>
                <w:color w:val="000000"/>
              </w:rPr>
            </w:pPr>
            <w:r w:rsidRPr="008E68BA">
              <w:rPr>
                <w:rFonts w:ascii="Arial" w:hAnsi="Arial" w:cs="Arial"/>
              </w:rPr>
              <w:t xml:space="preserve">Healthcare Associated </w:t>
            </w:r>
            <w:r w:rsidRPr="008E68BA">
              <w:rPr>
                <w:rStyle w:val="IntenseEmphasis"/>
                <w:rFonts w:ascii="Arial" w:hAnsi="Arial" w:cs="Arial"/>
                <w:color w:val="000000"/>
              </w:rPr>
              <w:t xml:space="preserve">Escherichia coli </w:t>
            </w:r>
            <w:r w:rsidRPr="008E68BA">
              <w:rPr>
                <w:rStyle w:val="IntenseEmphasis"/>
                <w:rFonts w:ascii="Arial" w:hAnsi="Arial" w:cs="Arial"/>
                <w:i w:val="0"/>
                <w:color w:val="000000"/>
              </w:rPr>
              <w:t>bacteraemia (ECB)</w:t>
            </w:r>
          </w:p>
        </w:tc>
        <w:tc>
          <w:tcPr>
            <w:tcW w:w="851" w:type="dxa"/>
            <w:vAlign w:val="center"/>
          </w:tcPr>
          <w:p w14:paraId="0C8672F3" w14:textId="24485FF2" w:rsidR="001E57C1" w:rsidRPr="008E68BA" w:rsidRDefault="00A77974" w:rsidP="008E68BA">
            <w:pPr>
              <w:spacing w:before="40"/>
              <w:rPr>
                <w:rStyle w:val="IntenseEmphasis"/>
                <w:rFonts w:ascii="Arial" w:hAnsi="Arial" w:cs="Arial"/>
                <w:i w:val="0"/>
                <w:color w:val="000000"/>
              </w:rPr>
            </w:pPr>
            <w:r w:rsidRPr="008E68BA">
              <w:rPr>
                <w:rStyle w:val="IntenseEmphasis"/>
                <w:rFonts w:ascii="Arial" w:hAnsi="Arial" w:cs="Arial"/>
                <w:i w:val="0"/>
                <w:color w:val="000000"/>
              </w:rPr>
              <w:t>48</w:t>
            </w:r>
          </w:p>
        </w:tc>
        <w:tc>
          <w:tcPr>
            <w:tcW w:w="850" w:type="dxa"/>
            <w:shd w:val="clear" w:color="auto" w:fill="auto"/>
            <w:vAlign w:val="center"/>
          </w:tcPr>
          <w:p w14:paraId="1CF47F97" w14:textId="07958748" w:rsidR="001E57C1" w:rsidRPr="008E68BA" w:rsidRDefault="00A77974" w:rsidP="008E68BA">
            <w:pPr>
              <w:spacing w:before="40"/>
              <w:rPr>
                <w:rStyle w:val="IntenseEmphasis"/>
                <w:rFonts w:ascii="Arial" w:hAnsi="Arial" w:cs="Arial"/>
                <w:i w:val="0"/>
                <w:color w:val="000000"/>
              </w:rPr>
            </w:pPr>
            <w:r w:rsidRPr="008E68BA">
              <w:rPr>
                <w:rStyle w:val="IntenseEmphasis"/>
                <w:rFonts w:ascii="Arial" w:hAnsi="Arial" w:cs="Arial"/>
                <w:i w:val="0"/>
                <w:color w:val="000000"/>
              </w:rPr>
              <w:t>45</w:t>
            </w:r>
          </w:p>
        </w:tc>
        <w:tc>
          <w:tcPr>
            <w:tcW w:w="3119" w:type="dxa"/>
          </w:tcPr>
          <w:p w14:paraId="6ACF76E1" w14:textId="77777777" w:rsidR="001E57C1" w:rsidRPr="008E68BA" w:rsidRDefault="001E57C1" w:rsidP="008E68BA">
            <w:pPr>
              <w:spacing w:before="40"/>
              <w:rPr>
                <w:rStyle w:val="IntenseEmphasis"/>
                <w:rFonts w:ascii="Arial" w:hAnsi="Arial" w:cs="Arial"/>
                <w:i w:val="0"/>
                <w:color w:val="000000"/>
              </w:rPr>
            </w:pPr>
            <w:r w:rsidRPr="008E68BA">
              <w:rPr>
                <w:rStyle w:val="IntenseEmphasis"/>
                <w:rFonts w:ascii="Arial" w:hAnsi="Arial" w:cs="Arial"/>
                <w:i w:val="0"/>
                <w:color w:val="000000"/>
              </w:rPr>
              <w:t xml:space="preserve">Above aim </w:t>
            </w:r>
          </w:p>
          <w:p w14:paraId="34108A54" w14:textId="77777777" w:rsidR="001E57C1" w:rsidRPr="008E68BA" w:rsidRDefault="001E57C1" w:rsidP="008E68BA">
            <w:pPr>
              <w:spacing w:before="40"/>
              <w:rPr>
                <w:rFonts w:ascii="Arial" w:hAnsi="Arial" w:cs="Arial"/>
                <w:strike/>
              </w:rPr>
            </w:pPr>
            <w:r w:rsidRPr="008E68BA">
              <w:rPr>
                <w:rStyle w:val="IntenseEmphasis"/>
                <w:rFonts w:ascii="Arial" w:hAnsi="Arial" w:cs="Arial"/>
                <w:i w:val="0"/>
                <w:color w:val="000000"/>
              </w:rPr>
              <w:t>(38/ month)</w:t>
            </w:r>
          </w:p>
        </w:tc>
      </w:tr>
      <w:tr w:rsidR="001E57C1" w:rsidRPr="008E68BA" w14:paraId="2E82C53F" w14:textId="77777777" w:rsidTr="00743E54">
        <w:tc>
          <w:tcPr>
            <w:tcW w:w="5098" w:type="dxa"/>
            <w:shd w:val="clear" w:color="auto" w:fill="auto"/>
          </w:tcPr>
          <w:p w14:paraId="44BA170B" w14:textId="77777777" w:rsidR="001E57C1" w:rsidRPr="008E68BA" w:rsidRDefault="001E57C1" w:rsidP="008E68BA">
            <w:pPr>
              <w:spacing w:before="40"/>
              <w:ind w:right="176"/>
              <w:rPr>
                <w:rFonts w:ascii="Arial" w:hAnsi="Arial" w:cs="Arial"/>
                <w:b/>
                <w:bCs/>
                <w:iCs/>
                <w:color w:val="000000"/>
              </w:rPr>
            </w:pPr>
            <w:r w:rsidRPr="008E68BA">
              <w:rPr>
                <w:rStyle w:val="IntenseEmphasis"/>
                <w:rFonts w:ascii="Arial" w:hAnsi="Arial" w:cs="Arial"/>
                <w:i w:val="0"/>
                <w:color w:val="000000"/>
              </w:rPr>
              <w:t>Hospital acquired IV access device (IVAD) associated SAB</w:t>
            </w:r>
          </w:p>
        </w:tc>
        <w:tc>
          <w:tcPr>
            <w:tcW w:w="851" w:type="dxa"/>
            <w:vAlign w:val="center"/>
          </w:tcPr>
          <w:p w14:paraId="3212E208" w14:textId="702E5692" w:rsidR="001E57C1" w:rsidRPr="008E68BA" w:rsidRDefault="000D09D9" w:rsidP="008E68BA">
            <w:pPr>
              <w:spacing w:before="40"/>
              <w:rPr>
                <w:rStyle w:val="IntenseEmphasis"/>
                <w:rFonts w:ascii="Arial" w:hAnsi="Arial" w:cs="Arial"/>
                <w:i w:val="0"/>
                <w:color w:val="000000"/>
              </w:rPr>
            </w:pPr>
            <w:r w:rsidRPr="008E68BA">
              <w:rPr>
                <w:rStyle w:val="IntenseEmphasis"/>
                <w:rFonts w:ascii="Arial" w:hAnsi="Arial" w:cs="Arial"/>
                <w:i w:val="0"/>
                <w:color w:val="000000"/>
              </w:rPr>
              <w:t>4</w:t>
            </w:r>
          </w:p>
        </w:tc>
        <w:tc>
          <w:tcPr>
            <w:tcW w:w="850" w:type="dxa"/>
            <w:shd w:val="clear" w:color="auto" w:fill="auto"/>
            <w:vAlign w:val="center"/>
          </w:tcPr>
          <w:p w14:paraId="19760900" w14:textId="4070EA13" w:rsidR="001E57C1" w:rsidRPr="008E68BA" w:rsidRDefault="00A77974" w:rsidP="008E68BA">
            <w:pPr>
              <w:spacing w:before="40"/>
              <w:rPr>
                <w:rStyle w:val="IntenseEmphasis"/>
                <w:rFonts w:ascii="Arial" w:hAnsi="Arial" w:cs="Arial"/>
                <w:i w:val="0"/>
                <w:color w:val="000000"/>
              </w:rPr>
            </w:pPr>
            <w:r w:rsidRPr="008E68BA">
              <w:rPr>
                <w:rStyle w:val="IntenseEmphasis"/>
                <w:rFonts w:ascii="Arial" w:hAnsi="Arial" w:cs="Arial"/>
                <w:i w:val="0"/>
                <w:color w:val="000000"/>
              </w:rPr>
              <w:t>6</w:t>
            </w:r>
          </w:p>
        </w:tc>
        <w:tc>
          <w:tcPr>
            <w:tcW w:w="3119" w:type="dxa"/>
            <w:shd w:val="clear" w:color="auto" w:fill="auto"/>
          </w:tcPr>
          <w:p w14:paraId="60441266" w14:textId="77777777" w:rsidR="001E57C1" w:rsidRPr="008E68BA" w:rsidRDefault="001E57C1" w:rsidP="008E68BA">
            <w:pPr>
              <w:spacing w:before="40"/>
              <w:rPr>
                <w:rStyle w:val="IntenseEmphasis"/>
                <w:rFonts w:ascii="Arial" w:hAnsi="Arial" w:cs="Arial"/>
                <w:i w:val="0"/>
                <w:color w:val="000000"/>
                <w:highlight w:val="yellow"/>
              </w:rPr>
            </w:pPr>
          </w:p>
        </w:tc>
      </w:tr>
      <w:tr w:rsidR="00A52A49" w:rsidRPr="008E68BA" w14:paraId="73FFDD7D" w14:textId="77777777" w:rsidTr="00743E54">
        <w:tc>
          <w:tcPr>
            <w:tcW w:w="5098" w:type="dxa"/>
            <w:shd w:val="clear" w:color="auto" w:fill="auto"/>
          </w:tcPr>
          <w:p w14:paraId="7821B19A" w14:textId="1643C578" w:rsidR="00A52A49" w:rsidRPr="008E68BA" w:rsidRDefault="00A52A49" w:rsidP="008E68BA">
            <w:pPr>
              <w:spacing w:before="40"/>
              <w:ind w:right="176"/>
              <w:rPr>
                <w:rStyle w:val="IntenseEmphasis"/>
                <w:rFonts w:ascii="Arial" w:hAnsi="Arial" w:cs="Arial"/>
                <w:i w:val="0"/>
                <w:color w:val="000000"/>
              </w:rPr>
            </w:pPr>
            <w:r w:rsidRPr="008E68BA">
              <w:rPr>
                <w:rStyle w:val="IntenseEmphasis"/>
                <w:rFonts w:ascii="Arial" w:hAnsi="Arial" w:cs="Arial"/>
                <w:i w:val="0"/>
                <w:color w:val="000000"/>
              </w:rPr>
              <w:t xml:space="preserve">Healthcare associated </w:t>
            </w:r>
            <w:r w:rsidR="00E31F7E" w:rsidRPr="008E68BA">
              <w:rPr>
                <w:rStyle w:val="IntenseEmphasis"/>
                <w:rFonts w:ascii="Arial" w:hAnsi="Arial" w:cs="Arial"/>
                <w:i w:val="0"/>
                <w:color w:val="000000"/>
              </w:rPr>
              <w:t>urinary catheter associated ECB</w:t>
            </w:r>
          </w:p>
        </w:tc>
        <w:tc>
          <w:tcPr>
            <w:tcW w:w="851" w:type="dxa"/>
            <w:vAlign w:val="center"/>
          </w:tcPr>
          <w:p w14:paraId="3FA75FB9" w14:textId="40FB434B" w:rsidR="00A52A49" w:rsidRPr="008E68BA" w:rsidRDefault="00E31F7E" w:rsidP="008E68BA">
            <w:pPr>
              <w:spacing w:before="40"/>
              <w:rPr>
                <w:rStyle w:val="IntenseEmphasis"/>
                <w:rFonts w:ascii="Arial" w:hAnsi="Arial" w:cs="Arial"/>
                <w:i w:val="0"/>
                <w:color w:val="000000"/>
              </w:rPr>
            </w:pPr>
            <w:r w:rsidRPr="008E68BA">
              <w:rPr>
                <w:rStyle w:val="IntenseEmphasis"/>
                <w:rFonts w:ascii="Arial" w:hAnsi="Arial" w:cs="Arial"/>
                <w:i w:val="0"/>
                <w:color w:val="000000"/>
              </w:rPr>
              <w:t>9</w:t>
            </w:r>
          </w:p>
        </w:tc>
        <w:tc>
          <w:tcPr>
            <w:tcW w:w="850" w:type="dxa"/>
            <w:shd w:val="clear" w:color="auto" w:fill="auto"/>
            <w:vAlign w:val="center"/>
          </w:tcPr>
          <w:p w14:paraId="131022F0" w14:textId="02515EA7" w:rsidR="00A52A49" w:rsidRPr="008E68BA" w:rsidRDefault="00E31F7E" w:rsidP="008E68BA">
            <w:pPr>
              <w:spacing w:before="40"/>
              <w:rPr>
                <w:rStyle w:val="IntenseEmphasis"/>
                <w:rFonts w:ascii="Arial" w:hAnsi="Arial" w:cs="Arial"/>
                <w:i w:val="0"/>
                <w:color w:val="000000"/>
              </w:rPr>
            </w:pPr>
            <w:r w:rsidRPr="008E68BA">
              <w:rPr>
                <w:rStyle w:val="IntenseEmphasis"/>
                <w:rFonts w:ascii="Arial" w:hAnsi="Arial" w:cs="Arial"/>
                <w:i w:val="0"/>
                <w:color w:val="000000"/>
              </w:rPr>
              <w:t>7</w:t>
            </w:r>
          </w:p>
        </w:tc>
        <w:tc>
          <w:tcPr>
            <w:tcW w:w="3119" w:type="dxa"/>
            <w:shd w:val="clear" w:color="auto" w:fill="auto"/>
          </w:tcPr>
          <w:p w14:paraId="6D1905C9" w14:textId="77777777" w:rsidR="00A52A49" w:rsidRPr="008E68BA" w:rsidRDefault="00A52A49" w:rsidP="008E68BA">
            <w:pPr>
              <w:spacing w:before="40"/>
              <w:rPr>
                <w:rStyle w:val="IntenseEmphasis"/>
                <w:rFonts w:ascii="Arial" w:hAnsi="Arial" w:cs="Arial"/>
                <w:i w:val="0"/>
                <w:color w:val="000000"/>
                <w:highlight w:val="yellow"/>
              </w:rPr>
            </w:pPr>
          </w:p>
        </w:tc>
      </w:tr>
      <w:tr w:rsidR="001E57C1" w:rsidRPr="008E68BA" w14:paraId="7360ECCE" w14:textId="77777777" w:rsidTr="0046085E">
        <w:tc>
          <w:tcPr>
            <w:tcW w:w="5098" w:type="dxa"/>
            <w:shd w:val="clear" w:color="auto" w:fill="auto"/>
          </w:tcPr>
          <w:p w14:paraId="61F754A4" w14:textId="77777777" w:rsidR="001E57C1" w:rsidRPr="008E68BA" w:rsidRDefault="001E57C1" w:rsidP="008E68BA">
            <w:pPr>
              <w:spacing w:before="40"/>
              <w:ind w:right="176"/>
              <w:rPr>
                <w:rStyle w:val="IntenseEmphasis"/>
                <w:rFonts w:ascii="Arial" w:hAnsi="Arial" w:cs="Arial"/>
                <w:i w:val="0"/>
                <w:color w:val="000000"/>
              </w:rPr>
            </w:pPr>
            <w:r w:rsidRPr="008E68BA">
              <w:rPr>
                <w:rStyle w:val="IntenseEmphasis"/>
                <w:rFonts w:ascii="Arial" w:hAnsi="Arial" w:cs="Arial"/>
                <w:i w:val="0"/>
                <w:color w:val="000000"/>
              </w:rPr>
              <w:t xml:space="preserve">Hand Hygiene </w:t>
            </w:r>
          </w:p>
          <w:p w14:paraId="4B52CC24" w14:textId="30E9896D" w:rsidR="00C24FA8" w:rsidRPr="008E68BA" w:rsidRDefault="00C24FA8" w:rsidP="008E68BA">
            <w:pPr>
              <w:spacing w:before="40"/>
              <w:ind w:right="176"/>
              <w:rPr>
                <w:rStyle w:val="IntenseEmphasis"/>
                <w:rFonts w:ascii="Arial" w:hAnsi="Arial" w:cs="Arial"/>
                <w:i w:val="0"/>
                <w:color w:val="000000"/>
              </w:rPr>
            </w:pPr>
          </w:p>
        </w:tc>
        <w:tc>
          <w:tcPr>
            <w:tcW w:w="851" w:type="dxa"/>
            <w:vAlign w:val="center"/>
          </w:tcPr>
          <w:p w14:paraId="426E55F9" w14:textId="69FB96A8" w:rsidR="001E57C1" w:rsidRPr="008E68BA" w:rsidRDefault="00AF798D" w:rsidP="008E68BA">
            <w:pPr>
              <w:spacing w:before="40"/>
              <w:rPr>
                <w:rStyle w:val="IntenseEmphasis"/>
                <w:rFonts w:ascii="Arial" w:hAnsi="Arial" w:cs="Arial"/>
                <w:i w:val="0"/>
                <w:color w:val="000000"/>
              </w:rPr>
            </w:pPr>
            <w:r w:rsidRPr="008E68BA">
              <w:rPr>
                <w:rStyle w:val="IntenseEmphasis"/>
                <w:rFonts w:ascii="Arial" w:hAnsi="Arial" w:cs="Arial"/>
                <w:i w:val="0"/>
                <w:color w:val="000000"/>
              </w:rPr>
              <w:t>97</w:t>
            </w:r>
          </w:p>
        </w:tc>
        <w:tc>
          <w:tcPr>
            <w:tcW w:w="850" w:type="dxa"/>
            <w:shd w:val="clear" w:color="auto" w:fill="auto"/>
            <w:vAlign w:val="center"/>
          </w:tcPr>
          <w:p w14:paraId="1DE50395" w14:textId="73CF8D42" w:rsidR="001E57C1" w:rsidRPr="008E68BA" w:rsidRDefault="00AF798D" w:rsidP="008E68BA">
            <w:pPr>
              <w:spacing w:before="40"/>
              <w:rPr>
                <w:rStyle w:val="IntenseEmphasis"/>
                <w:rFonts w:ascii="Arial" w:hAnsi="Arial" w:cs="Arial"/>
                <w:i w:val="0"/>
                <w:color w:val="000000"/>
              </w:rPr>
            </w:pPr>
            <w:r w:rsidRPr="008E68BA">
              <w:rPr>
                <w:rStyle w:val="IntenseEmphasis"/>
                <w:rFonts w:ascii="Arial" w:hAnsi="Arial" w:cs="Arial"/>
                <w:i w:val="0"/>
                <w:color w:val="000000"/>
              </w:rPr>
              <w:t>98</w:t>
            </w:r>
          </w:p>
        </w:tc>
        <w:tc>
          <w:tcPr>
            <w:tcW w:w="3119" w:type="dxa"/>
            <w:shd w:val="clear" w:color="auto" w:fill="auto"/>
          </w:tcPr>
          <w:p w14:paraId="75C72199" w14:textId="77777777" w:rsidR="001E57C1" w:rsidRPr="008E68BA" w:rsidRDefault="001E57C1" w:rsidP="008E68BA">
            <w:pPr>
              <w:spacing w:before="40"/>
              <w:rPr>
                <w:rStyle w:val="IntenseEmphasis"/>
                <w:rFonts w:ascii="Arial" w:hAnsi="Arial" w:cs="Arial"/>
                <w:i w:val="0"/>
                <w:color w:val="000000"/>
                <w:highlight w:val="yellow"/>
              </w:rPr>
            </w:pPr>
          </w:p>
        </w:tc>
      </w:tr>
      <w:tr w:rsidR="001E57C1" w:rsidRPr="008E68BA" w14:paraId="681AC718" w14:textId="77777777" w:rsidTr="0046085E">
        <w:tc>
          <w:tcPr>
            <w:tcW w:w="5098" w:type="dxa"/>
            <w:shd w:val="clear" w:color="auto" w:fill="auto"/>
          </w:tcPr>
          <w:p w14:paraId="6876F23D" w14:textId="77777777" w:rsidR="001E57C1" w:rsidRPr="008E68BA" w:rsidRDefault="001E57C1" w:rsidP="008E68BA">
            <w:pPr>
              <w:spacing w:before="40"/>
              <w:ind w:right="176"/>
              <w:rPr>
                <w:rStyle w:val="IntenseEmphasis"/>
                <w:rFonts w:ascii="Arial" w:hAnsi="Arial" w:cs="Arial"/>
                <w:i w:val="0"/>
                <w:color w:val="000000"/>
              </w:rPr>
            </w:pPr>
            <w:r w:rsidRPr="008E68BA">
              <w:rPr>
                <w:rStyle w:val="IntenseEmphasis"/>
                <w:rFonts w:ascii="Arial" w:hAnsi="Arial" w:cs="Arial"/>
                <w:i w:val="0"/>
                <w:color w:val="000000"/>
              </w:rPr>
              <w:t>National Cleaning compliance (Board wide)</w:t>
            </w:r>
          </w:p>
          <w:p w14:paraId="34AD348E" w14:textId="0A49EC7F" w:rsidR="00C24FA8" w:rsidRPr="008E68BA" w:rsidRDefault="00C24FA8" w:rsidP="008E68BA">
            <w:pPr>
              <w:spacing w:before="40"/>
              <w:ind w:right="176"/>
              <w:rPr>
                <w:rStyle w:val="IntenseEmphasis"/>
                <w:rFonts w:ascii="Arial" w:hAnsi="Arial" w:cs="Arial"/>
                <w:i w:val="0"/>
                <w:color w:val="000000"/>
              </w:rPr>
            </w:pPr>
          </w:p>
        </w:tc>
        <w:tc>
          <w:tcPr>
            <w:tcW w:w="851" w:type="dxa"/>
            <w:vAlign w:val="center"/>
          </w:tcPr>
          <w:p w14:paraId="73C602A6" w14:textId="6FD79473" w:rsidR="001E57C1" w:rsidRPr="008E68BA" w:rsidRDefault="0030791C" w:rsidP="008E68BA">
            <w:pPr>
              <w:spacing w:before="40"/>
              <w:rPr>
                <w:rStyle w:val="IntenseEmphasis"/>
                <w:rFonts w:ascii="Arial" w:hAnsi="Arial" w:cs="Arial"/>
                <w:i w:val="0"/>
                <w:color w:val="000000"/>
              </w:rPr>
            </w:pPr>
            <w:r w:rsidRPr="008E68BA">
              <w:rPr>
                <w:rStyle w:val="IntenseEmphasis"/>
                <w:rFonts w:ascii="Arial" w:hAnsi="Arial" w:cs="Arial"/>
                <w:i w:val="0"/>
                <w:color w:val="000000"/>
              </w:rPr>
              <w:t>95</w:t>
            </w:r>
          </w:p>
        </w:tc>
        <w:tc>
          <w:tcPr>
            <w:tcW w:w="850" w:type="dxa"/>
            <w:shd w:val="clear" w:color="auto" w:fill="auto"/>
            <w:vAlign w:val="center"/>
          </w:tcPr>
          <w:p w14:paraId="0E609D0F" w14:textId="3C66E588" w:rsidR="001E57C1" w:rsidRPr="008E68BA" w:rsidRDefault="0030791C" w:rsidP="008E68BA">
            <w:pPr>
              <w:spacing w:before="40"/>
              <w:rPr>
                <w:rStyle w:val="IntenseEmphasis"/>
                <w:rFonts w:ascii="Arial" w:hAnsi="Arial" w:cs="Arial"/>
                <w:i w:val="0"/>
                <w:color w:val="000000"/>
              </w:rPr>
            </w:pPr>
            <w:r w:rsidRPr="008E68BA">
              <w:rPr>
                <w:rStyle w:val="IntenseEmphasis"/>
                <w:rFonts w:ascii="Arial" w:hAnsi="Arial" w:cs="Arial"/>
                <w:i w:val="0"/>
                <w:color w:val="000000"/>
              </w:rPr>
              <w:t>96</w:t>
            </w:r>
          </w:p>
        </w:tc>
        <w:tc>
          <w:tcPr>
            <w:tcW w:w="3119" w:type="dxa"/>
            <w:shd w:val="clear" w:color="auto" w:fill="auto"/>
          </w:tcPr>
          <w:p w14:paraId="2B75FA94" w14:textId="77777777" w:rsidR="001E57C1" w:rsidRPr="008E68BA" w:rsidRDefault="001E57C1" w:rsidP="008E68BA">
            <w:pPr>
              <w:spacing w:before="40"/>
              <w:rPr>
                <w:rStyle w:val="IntenseEmphasis"/>
                <w:rFonts w:ascii="Arial" w:hAnsi="Arial" w:cs="Arial"/>
                <w:i w:val="0"/>
                <w:color w:val="000000"/>
                <w:highlight w:val="yellow"/>
              </w:rPr>
            </w:pPr>
          </w:p>
        </w:tc>
      </w:tr>
      <w:tr w:rsidR="001E57C1" w:rsidRPr="008E68BA" w14:paraId="77C1D23A" w14:textId="77777777" w:rsidTr="0046085E">
        <w:tc>
          <w:tcPr>
            <w:tcW w:w="5098" w:type="dxa"/>
            <w:shd w:val="clear" w:color="auto" w:fill="auto"/>
          </w:tcPr>
          <w:p w14:paraId="3638061F" w14:textId="77777777" w:rsidR="001E57C1" w:rsidRPr="008E68BA" w:rsidRDefault="001E57C1" w:rsidP="008E68BA">
            <w:pPr>
              <w:spacing w:before="40"/>
              <w:ind w:right="176"/>
              <w:rPr>
                <w:rStyle w:val="IntenseEmphasis"/>
                <w:rFonts w:ascii="Arial" w:hAnsi="Arial" w:cs="Arial"/>
                <w:i w:val="0"/>
                <w:color w:val="000000"/>
              </w:rPr>
            </w:pPr>
            <w:r w:rsidRPr="008E68BA">
              <w:rPr>
                <w:rStyle w:val="IntenseEmphasis"/>
                <w:rFonts w:ascii="Arial" w:hAnsi="Arial" w:cs="Arial"/>
                <w:i w:val="0"/>
                <w:color w:val="000000"/>
              </w:rPr>
              <w:t>National Estates compliance (Board wide)</w:t>
            </w:r>
          </w:p>
          <w:p w14:paraId="6145AB94" w14:textId="51028C11" w:rsidR="00C24FA8" w:rsidRPr="008E68BA" w:rsidRDefault="00C24FA8" w:rsidP="008E68BA">
            <w:pPr>
              <w:spacing w:before="40"/>
              <w:ind w:right="176"/>
              <w:rPr>
                <w:rStyle w:val="IntenseEmphasis"/>
                <w:rFonts w:ascii="Arial" w:hAnsi="Arial" w:cs="Arial"/>
                <w:i w:val="0"/>
                <w:color w:val="000000"/>
              </w:rPr>
            </w:pPr>
          </w:p>
        </w:tc>
        <w:tc>
          <w:tcPr>
            <w:tcW w:w="851" w:type="dxa"/>
            <w:vAlign w:val="center"/>
          </w:tcPr>
          <w:p w14:paraId="48D4318B" w14:textId="52805FA8" w:rsidR="001E57C1" w:rsidRPr="008E68BA" w:rsidRDefault="0030791C" w:rsidP="008E68BA">
            <w:pPr>
              <w:spacing w:before="40"/>
              <w:rPr>
                <w:rStyle w:val="IntenseEmphasis"/>
                <w:rFonts w:ascii="Arial" w:hAnsi="Arial" w:cs="Arial"/>
                <w:i w:val="0"/>
                <w:color w:val="000000"/>
              </w:rPr>
            </w:pPr>
            <w:r w:rsidRPr="008E68BA">
              <w:rPr>
                <w:rStyle w:val="IntenseEmphasis"/>
                <w:rFonts w:ascii="Arial" w:hAnsi="Arial" w:cs="Arial"/>
                <w:i w:val="0"/>
                <w:color w:val="000000"/>
              </w:rPr>
              <w:t>95</w:t>
            </w:r>
          </w:p>
        </w:tc>
        <w:tc>
          <w:tcPr>
            <w:tcW w:w="850" w:type="dxa"/>
            <w:shd w:val="clear" w:color="auto" w:fill="auto"/>
            <w:vAlign w:val="center"/>
          </w:tcPr>
          <w:p w14:paraId="0F7D871A" w14:textId="21E2944A" w:rsidR="001E57C1" w:rsidRPr="008E68BA" w:rsidRDefault="0030791C" w:rsidP="008E68BA">
            <w:pPr>
              <w:spacing w:before="40"/>
              <w:rPr>
                <w:rStyle w:val="IntenseEmphasis"/>
                <w:rFonts w:ascii="Arial" w:hAnsi="Arial" w:cs="Arial"/>
                <w:i w:val="0"/>
                <w:color w:val="000000"/>
              </w:rPr>
            </w:pPr>
            <w:r w:rsidRPr="008E68BA">
              <w:rPr>
                <w:rStyle w:val="IntenseEmphasis"/>
                <w:rFonts w:ascii="Arial" w:hAnsi="Arial" w:cs="Arial"/>
                <w:i w:val="0"/>
                <w:color w:val="000000"/>
              </w:rPr>
              <w:t>96</w:t>
            </w:r>
          </w:p>
        </w:tc>
        <w:tc>
          <w:tcPr>
            <w:tcW w:w="3119" w:type="dxa"/>
            <w:shd w:val="clear" w:color="auto" w:fill="auto"/>
          </w:tcPr>
          <w:p w14:paraId="5DB4AF9C" w14:textId="77777777" w:rsidR="001E57C1" w:rsidRPr="008E68BA" w:rsidRDefault="001E57C1" w:rsidP="008E68BA">
            <w:pPr>
              <w:spacing w:before="40"/>
              <w:rPr>
                <w:rStyle w:val="IntenseEmphasis"/>
                <w:rFonts w:ascii="Arial" w:hAnsi="Arial" w:cs="Arial"/>
                <w:i w:val="0"/>
                <w:color w:val="000000"/>
                <w:highlight w:val="yellow"/>
              </w:rPr>
            </w:pPr>
          </w:p>
        </w:tc>
      </w:tr>
    </w:tbl>
    <w:p w14:paraId="1E4FA5AF" w14:textId="77777777" w:rsidR="00C24FA8" w:rsidRPr="008E68BA" w:rsidRDefault="00C24FA8" w:rsidP="008E68BA">
      <w:pPr>
        <w:rPr>
          <w:rFonts w:ascii="Arial" w:hAnsi="Arial" w:cs="Arial"/>
        </w:rPr>
      </w:pPr>
    </w:p>
    <w:p w14:paraId="4E888B02" w14:textId="77777777" w:rsidR="00857149" w:rsidRPr="008E68BA" w:rsidRDefault="001E57C1" w:rsidP="008E68BA">
      <w:pPr>
        <w:rPr>
          <w:rFonts w:ascii="Arial" w:hAnsi="Arial" w:cs="Arial"/>
        </w:rPr>
      </w:pPr>
      <w:r w:rsidRPr="008E68BA">
        <w:rPr>
          <w:rFonts w:ascii="Arial" w:hAnsi="Arial" w:cs="Arial"/>
        </w:rPr>
        <w:t xml:space="preserve"> </w:t>
      </w:r>
    </w:p>
    <w:tbl>
      <w:tblPr>
        <w:tblStyle w:val="TableGrid"/>
        <w:tblW w:w="9781" w:type="dxa"/>
        <w:tblInd w:w="-147" w:type="dxa"/>
        <w:tblLook w:val="04A0" w:firstRow="1" w:lastRow="0" w:firstColumn="1" w:lastColumn="0" w:noHBand="0" w:noVBand="1"/>
      </w:tblPr>
      <w:tblGrid>
        <w:gridCol w:w="9781"/>
      </w:tblGrid>
      <w:tr w:rsidR="00B15CC5" w:rsidRPr="008E68BA" w14:paraId="66613153" w14:textId="77777777" w:rsidTr="00C24FA8">
        <w:trPr>
          <w:trHeight w:val="4929"/>
        </w:trPr>
        <w:tc>
          <w:tcPr>
            <w:tcW w:w="9781" w:type="dxa"/>
          </w:tcPr>
          <w:p w14:paraId="6749B11A" w14:textId="77777777" w:rsidR="001C2124" w:rsidRPr="008E68BA" w:rsidRDefault="001C2124" w:rsidP="008E68BA">
            <w:pPr>
              <w:spacing w:before="120"/>
              <w:rPr>
                <w:rStyle w:val="IntenseEmphasis"/>
                <w:rFonts w:ascii="Arial" w:hAnsi="Arial" w:cs="Arial"/>
                <w:i w:val="0"/>
                <w:color w:val="000000"/>
              </w:rPr>
            </w:pPr>
            <w:r w:rsidRPr="008E68BA">
              <w:rPr>
                <w:rStyle w:val="IntenseEmphasis"/>
                <w:rFonts w:ascii="Arial" w:hAnsi="Arial" w:cs="Arial"/>
                <w:i w:val="0"/>
                <w:color w:val="000000"/>
              </w:rPr>
              <w:lastRenderedPageBreak/>
              <w:t>Key infection control challenges (relating to performance)</w:t>
            </w:r>
          </w:p>
          <w:p w14:paraId="111C296F" w14:textId="77777777" w:rsidR="001C2124" w:rsidRPr="008E68BA" w:rsidRDefault="001C2124" w:rsidP="008E68BA">
            <w:pPr>
              <w:rPr>
                <w:rStyle w:val="IntenseEmphasis"/>
                <w:rFonts w:ascii="Arial" w:hAnsi="Arial" w:cs="Arial"/>
                <w:color w:val="000000"/>
                <w:u w:val="single"/>
              </w:rPr>
            </w:pPr>
          </w:p>
          <w:p w14:paraId="006E4BE3" w14:textId="77777777" w:rsidR="001C2124" w:rsidRPr="008E68BA" w:rsidRDefault="001C2124" w:rsidP="008E68BA">
            <w:pPr>
              <w:ind w:firstLine="176"/>
              <w:rPr>
                <w:rStyle w:val="IntenseEmphasis"/>
                <w:rFonts w:ascii="Arial" w:hAnsi="Arial" w:cs="Arial"/>
                <w:b w:val="0"/>
                <w:i w:val="0"/>
                <w:color w:val="000000"/>
                <w:u w:val="single"/>
              </w:rPr>
            </w:pPr>
            <w:r w:rsidRPr="008E68BA">
              <w:rPr>
                <w:rStyle w:val="IntenseEmphasis"/>
                <w:rFonts w:ascii="Arial" w:hAnsi="Arial" w:cs="Arial"/>
                <w:color w:val="000000"/>
                <w:u w:val="single"/>
              </w:rPr>
              <w:t>Staphylococcus aureus</w:t>
            </w:r>
            <w:r w:rsidRPr="008E68BA">
              <w:rPr>
                <w:rStyle w:val="IntenseEmphasis"/>
                <w:rFonts w:ascii="Arial" w:hAnsi="Arial" w:cs="Arial"/>
                <w:i w:val="0"/>
                <w:color w:val="000000"/>
                <w:u w:val="single"/>
              </w:rPr>
              <w:t xml:space="preserve"> bacteraemia</w:t>
            </w:r>
            <w:r w:rsidR="003353DE" w:rsidRPr="008E68BA">
              <w:rPr>
                <w:rFonts w:ascii="Arial" w:hAnsi="Arial" w:cs="Arial"/>
                <w:color w:val="000000"/>
              </w:rPr>
              <w:t xml:space="preserve"> </w:t>
            </w:r>
          </w:p>
          <w:p w14:paraId="2261FEA9" w14:textId="629C5FC7" w:rsidR="001C2124" w:rsidRPr="008E68BA" w:rsidRDefault="000F76D5" w:rsidP="008E68BA">
            <w:pPr>
              <w:pStyle w:val="ListParagraph"/>
              <w:numPr>
                <w:ilvl w:val="0"/>
                <w:numId w:val="6"/>
              </w:numPr>
              <w:ind w:left="601" w:hanging="283"/>
              <w:contextualSpacing/>
              <w:rPr>
                <w:rFonts w:ascii="Arial" w:hAnsi="Arial" w:cs="Arial"/>
              </w:rPr>
            </w:pPr>
            <w:r w:rsidRPr="008E68BA">
              <w:rPr>
                <w:rFonts w:ascii="Arial" w:hAnsi="Arial" w:cs="Arial"/>
                <w:color w:val="000000"/>
              </w:rPr>
              <w:t xml:space="preserve">There were </w:t>
            </w:r>
            <w:r w:rsidR="00A77974" w:rsidRPr="008E68BA">
              <w:rPr>
                <w:rFonts w:ascii="Arial" w:hAnsi="Arial" w:cs="Arial"/>
                <w:color w:val="000000"/>
              </w:rPr>
              <w:t>2</w:t>
            </w:r>
            <w:r w:rsidR="00A67055" w:rsidRPr="008E68BA">
              <w:rPr>
                <w:rFonts w:ascii="Arial" w:hAnsi="Arial" w:cs="Arial"/>
                <w:color w:val="000000"/>
              </w:rPr>
              <w:t>5</w:t>
            </w:r>
            <w:r w:rsidR="004D24AF" w:rsidRPr="008E68BA">
              <w:rPr>
                <w:rFonts w:ascii="Arial" w:hAnsi="Arial" w:cs="Arial"/>
                <w:color w:val="000000"/>
              </w:rPr>
              <w:t xml:space="preserve"> </w:t>
            </w:r>
            <w:r w:rsidR="001C2124" w:rsidRPr="008E68BA">
              <w:rPr>
                <w:rFonts w:ascii="Arial" w:hAnsi="Arial" w:cs="Arial"/>
                <w:color w:val="000000"/>
              </w:rPr>
              <w:t xml:space="preserve">healthcare associated SAB in </w:t>
            </w:r>
            <w:r w:rsidR="00A77974" w:rsidRPr="008E68BA">
              <w:rPr>
                <w:rFonts w:ascii="Arial" w:hAnsi="Arial" w:cs="Arial"/>
                <w:color w:val="000000"/>
              </w:rPr>
              <w:t>September</w:t>
            </w:r>
            <w:r w:rsidR="00C762E2" w:rsidRPr="008E68BA">
              <w:rPr>
                <w:rFonts w:ascii="Arial" w:hAnsi="Arial" w:cs="Arial"/>
                <w:color w:val="000000"/>
              </w:rPr>
              <w:t xml:space="preserve"> 2021</w:t>
            </w:r>
            <w:r w:rsidR="003353DE" w:rsidRPr="008E68BA">
              <w:rPr>
                <w:rFonts w:ascii="Arial" w:hAnsi="Arial" w:cs="Arial"/>
                <w:color w:val="000000"/>
              </w:rPr>
              <w:t xml:space="preserve"> and </w:t>
            </w:r>
            <w:r w:rsidR="00A77974" w:rsidRPr="008E68BA">
              <w:rPr>
                <w:rFonts w:ascii="Arial" w:hAnsi="Arial" w:cs="Arial"/>
                <w:color w:val="000000"/>
              </w:rPr>
              <w:t>26</w:t>
            </w:r>
            <w:r w:rsidR="00C41E30" w:rsidRPr="008E68BA">
              <w:rPr>
                <w:rFonts w:ascii="Arial" w:hAnsi="Arial" w:cs="Arial"/>
                <w:color w:val="000000"/>
              </w:rPr>
              <w:t xml:space="preserve"> </w:t>
            </w:r>
            <w:r w:rsidR="00A77974" w:rsidRPr="008E68BA">
              <w:rPr>
                <w:rFonts w:ascii="Arial" w:hAnsi="Arial" w:cs="Arial"/>
                <w:color w:val="000000"/>
              </w:rPr>
              <w:t>in October</w:t>
            </w:r>
            <w:r w:rsidR="00C963B6" w:rsidRPr="008E68BA">
              <w:rPr>
                <w:rFonts w:ascii="Arial" w:hAnsi="Arial" w:cs="Arial"/>
                <w:color w:val="000000"/>
              </w:rPr>
              <w:t xml:space="preserve"> 2021</w:t>
            </w:r>
            <w:r w:rsidR="00EB7476" w:rsidRPr="008E68BA">
              <w:rPr>
                <w:rFonts w:ascii="Arial" w:hAnsi="Arial" w:cs="Arial"/>
                <w:color w:val="000000"/>
              </w:rPr>
              <w:t>. Aim is 23 or less per month.</w:t>
            </w:r>
          </w:p>
          <w:p w14:paraId="24735FE8" w14:textId="77777777" w:rsidR="003353DE" w:rsidRPr="008E68BA" w:rsidRDefault="003353DE" w:rsidP="008E68BA">
            <w:pPr>
              <w:pStyle w:val="ListParagraph"/>
              <w:ind w:left="601" w:hanging="283"/>
              <w:contextualSpacing/>
              <w:rPr>
                <w:rFonts w:ascii="Arial" w:hAnsi="Arial" w:cs="Arial"/>
              </w:rPr>
            </w:pPr>
          </w:p>
          <w:p w14:paraId="79330355" w14:textId="77777777" w:rsidR="001C2124" w:rsidRPr="008E68BA" w:rsidRDefault="001C2124" w:rsidP="008E68BA">
            <w:pPr>
              <w:ind w:left="601" w:hanging="425"/>
              <w:rPr>
                <w:rFonts w:ascii="Arial" w:hAnsi="Arial" w:cs="Arial"/>
                <w:b/>
                <w:u w:val="single"/>
              </w:rPr>
            </w:pPr>
            <w:proofErr w:type="spellStart"/>
            <w:r w:rsidRPr="008E68BA">
              <w:rPr>
                <w:rFonts w:ascii="Arial" w:hAnsi="Arial" w:cs="Arial"/>
                <w:b/>
                <w:i/>
                <w:u w:val="single"/>
              </w:rPr>
              <w:t>Clostridioides</w:t>
            </w:r>
            <w:proofErr w:type="spellEnd"/>
            <w:r w:rsidRPr="008E68BA">
              <w:rPr>
                <w:rFonts w:ascii="Arial" w:hAnsi="Arial" w:cs="Arial"/>
                <w:b/>
                <w:i/>
                <w:u w:val="single"/>
              </w:rPr>
              <w:t xml:space="preserve"> difficile</w:t>
            </w:r>
            <w:r w:rsidRPr="008E68BA">
              <w:rPr>
                <w:rFonts w:ascii="Arial" w:hAnsi="Arial" w:cs="Arial"/>
                <w:b/>
                <w:u w:val="single"/>
              </w:rPr>
              <w:t xml:space="preserve"> infection</w:t>
            </w:r>
            <w:r w:rsidR="003353DE" w:rsidRPr="008E68BA">
              <w:rPr>
                <w:rFonts w:ascii="Arial" w:hAnsi="Arial" w:cs="Arial"/>
                <w:color w:val="000000"/>
              </w:rPr>
              <w:t xml:space="preserve"> </w:t>
            </w:r>
          </w:p>
          <w:p w14:paraId="3513D757" w14:textId="565B8727" w:rsidR="001C2124" w:rsidRPr="008E68BA" w:rsidRDefault="00275E2B" w:rsidP="008E68BA">
            <w:pPr>
              <w:pStyle w:val="ListParagraph"/>
              <w:numPr>
                <w:ilvl w:val="0"/>
                <w:numId w:val="6"/>
              </w:numPr>
              <w:ind w:left="601" w:hanging="283"/>
              <w:contextualSpacing/>
              <w:rPr>
                <w:rFonts w:ascii="Arial" w:hAnsi="Arial" w:cs="Arial"/>
              </w:rPr>
            </w:pPr>
            <w:r w:rsidRPr="008E68BA">
              <w:rPr>
                <w:rFonts w:ascii="Arial" w:hAnsi="Arial" w:cs="Arial"/>
              </w:rPr>
              <w:t xml:space="preserve">There were </w:t>
            </w:r>
            <w:r w:rsidR="00A77974" w:rsidRPr="008E68BA">
              <w:rPr>
                <w:rFonts w:ascii="Arial" w:hAnsi="Arial" w:cs="Arial"/>
                <w:color w:val="000000"/>
              </w:rPr>
              <w:t>24</w:t>
            </w:r>
            <w:r w:rsidR="00C41E30" w:rsidRPr="008E68BA">
              <w:rPr>
                <w:rFonts w:ascii="Arial" w:hAnsi="Arial" w:cs="Arial"/>
                <w:color w:val="000000"/>
              </w:rPr>
              <w:t xml:space="preserve"> </w:t>
            </w:r>
            <w:r w:rsidR="001C2124" w:rsidRPr="008E68BA">
              <w:rPr>
                <w:rFonts w:ascii="Arial" w:hAnsi="Arial" w:cs="Arial"/>
                <w:color w:val="000000"/>
              </w:rPr>
              <w:t xml:space="preserve">healthcare associated </w:t>
            </w:r>
            <w:r w:rsidR="001C2124" w:rsidRPr="008E68BA">
              <w:rPr>
                <w:rFonts w:ascii="Arial" w:hAnsi="Arial" w:cs="Arial"/>
              </w:rPr>
              <w:t>CDI in</w:t>
            </w:r>
            <w:r w:rsidR="00A77974" w:rsidRPr="008E68BA">
              <w:rPr>
                <w:rFonts w:ascii="Arial" w:hAnsi="Arial" w:cs="Arial"/>
                <w:color w:val="000000"/>
              </w:rPr>
              <w:t xml:space="preserve"> September </w:t>
            </w:r>
            <w:r w:rsidR="00C762E2" w:rsidRPr="008E68BA">
              <w:rPr>
                <w:rFonts w:ascii="Arial" w:hAnsi="Arial" w:cs="Arial"/>
                <w:color w:val="000000"/>
              </w:rPr>
              <w:t>2021</w:t>
            </w:r>
            <w:r w:rsidR="003353DE" w:rsidRPr="008E68BA">
              <w:rPr>
                <w:rFonts w:ascii="Arial" w:hAnsi="Arial" w:cs="Arial"/>
                <w:color w:val="000000"/>
              </w:rPr>
              <w:t xml:space="preserve"> and </w:t>
            </w:r>
            <w:r w:rsidR="00A77974" w:rsidRPr="008E68BA">
              <w:rPr>
                <w:rFonts w:ascii="Arial" w:hAnsi="Arial" w:cs="Arial"/>
                <w:color w:val="000000"/>
              </w:rPr>
              <w:t>17</w:t>
            </w:r>
            <w:r w:rsidR="00C41E30" w:rsidRPr="008E68BA">
              <w:rPr>
                <w:rFonts w:ascii="Arial" w:hAnsi="Arial" w:cs="Arial"/>
                <w:color w:val="000000"/>
              </w:rPr>
              <w:t xml:space="preserve"> </w:t>
            </w:r>
            <w:r w:rsidR="00C963B6" w:rsidRPr="008E68BA">
              <w:rPr>
                <w:rFonts w:ascii="Arial" w:hAnsi="Arial" w:cs="Arial"/>
              </w:rPr>
              <w:t xml:space="preserve">in </w:t>
            </w:r>
            <w:r w:rsidR="00A77974" w:rsidRPr="008E68BA">
              <w:rPr>
                <w:rFonts w:ascii="Arial" w:hAnsi="Arial" w:cs="Arial"/>
                <w:color w:val="000000"/>
              </w:rPr>
              <w:t>October</w:t>
            </w:r>
            <w:r w:rsidR="00C963B6" w:rsidRPr="008E68BA">
              <w:rPr>
                <w:rFonts w:ascii="Arial" w:hAnsi="Arial" w:cs="Arial"/>
                <w:color w:val="000000"/>
              </w:rPr>
              <w:t xml:space="preserve"> 2021</w:t>
            </w:r>
            <w:r w:rsidR="00EB7476" w:rsidRPr="008E68BA">
              <w:rPr>
                <w:rFonts w:ascii="Arial" w:hAnsi="Arial" w:cs="Arial"/>
                <w:color w:val="000000"/>
              </w:rPr>
              <w:t>. Aim is 17 or less per month.</w:t>
            </w:r>
          </w:p>
          <w:p w14:paraId="553905C9" w14:textId="77777777" w:rsidR="003353DE" w:rsidRPr="008E68BA" w:rsidRDefault="003353DE" w:rsidP="008E68BA">
            <w:pPr>
              <w:pStyle w:val="ListParagraph"/>
              <w:ind w:left="459"/>
              <w:contextualSpacing/>
              <w:rPr>
                <w:rFonts w:ascii="Arial" w:hAnsi="Arial" w:cs="Arial"/>
              </w:rPr>
            </w:pPr>
          </w:p>
          <w:p w14:paraId="079FE06A" w14:textId="77777777" w:rsidR="001C2124" w:rsidRPr="008E68BA" w:rsidRDefault="001C2124" w:rsidP="008E68BA">
            <w:pPr>
              <w:ind w:left="459" w:hanging="283"/>
              <w:rPr>
                <w:rFonts w:ascii="Arial" w:hAnsi="Arial" w:cs="Arial"/>
                <w:b/>
                <w:u w:val="single"/>
              </w:rPr>
            </w:pPr>
            <w:r w:rsidRPr="008E68BA">
              <w:rPr>
                <w:rFonts w:ascii="Arial" w:hAnsi="Arial" w:cs="Arial"/>
                <w:b/>
                <w:i/>
                <w:u w:val="single"/>
              </w:rPr>
              <w:t>E</w:t>
            </w:r>
            <w:r w:rsidRPr="008E68BA">
              <w:rPr>
                <w:rStyle w:val="IntenseEmphasis"/>
                <w:rFonts w:ascii="Arial" w:hAnsi="Arial" w:cs="Arial"/>
                <w:color w:val="000000"/>
                <w:u w:val="single"/>
              </w:rPr>
              <w:t>scherichia</w:t>
            </w:r>
            <w:r w:rsidRPr="008E68BA">
              <w:rPr>
                <w:rFonts w:ascii="Arial" w:hAnsi="Arial" w:cs="Arial"/>
                <w:b/>
                <w:i/>
                <w:u w:val="single"/>
              </w:rPr>
              <w:t xml:space="preserve"> coli</w:t>
            </w:r>
            <w:r w:rsidRPr="008E68BA">
              <w:rPr>
                <w:rFonts w:ascii="Arial" w:hAnsi="Arial" w:cs="Arial"/>
                <w:b/>
                <w:u w:val="single"/>
              </w:rPr>
              <w:t xml:space="preserve"> bacteraemia</w:t>
            </w:r>
            <w:r w:rsidR="003353DE" w:rsidRPr="008E68BA">
              <w:rPr>
                <w:rFonts w:ascii="Arial" w:hAnsi="Arial" w:cs="Arial"/>
                <w:color w:val="000000"/>
              </w:rPr>
              <w:t xml:space="preserve"> </w:t>
            </w:r>
          </w:p>
          <w:p w14:paraId="1B7107AB" w14:textId="06A8EE4F" w:rsidR="00C963B6" w:rsidRPr="008E68BA" w:rsidRDefault="001C2124" w:rsidP="008E68BA">
            <w:pPr>
              <w:pStyle w:val="ListParagraph"/>
              <w:numPr>
                <w:ilvl w:val="0"/>
                <w:numId w:val="6"/>
              </w:numPr>
              <w:ind w:left="601" w:hanging="283"/>
              <w:contextualSpacing/>
              <w:rPr>
                <w:rFonts w:ascii="Arial" w:hAnsi="Arial" w:cs="Arial"/>
                <w:i/>
                <w:u w:val="single"/>
              </w:rPr>
            </w:pPr>
            <w:r w:rsidRPr="008E68BA">
              <w:rPr>
                <w:rFonts w:ascii="Arial" w:hAnsi="Arial" w:cs="Arial"/>
              </w:rPr>
              <w:t>There were</w:t>
            </w:r>
            <w:r w:rsidR="00275E2B" w:rsidRPr="008E68BA">
              <w:rPr>
                <w:rFonts w:ascii="Arial" w:hAnsi="Arial" w:cs="Arial"/>
              </w:rPr>
              <w:t xml:space="preserve"> </w:t>
            </w:r>
            <w:r w:rsidR="004D5D8F" w:rsidRPr="008E68BA">
              <w:rPr>
                <w:rFonts w:ascii="Arial" w:hAnsi="Arial" w:cs="Arial"/>
                <w:color w:val="000000"/>
              </w:rPr>
              <w:t>48</w:t>
            </w:r>
            <w:r w:rsidR="00C41E30" w:rsidRPr="008E68BA">
              <w:rPr>
                <w:rFonts w:ascii="Arial" w:hAnsi="Arial" w:cs="Arial"/>
                <w:color w:val="000000"/>
              </w:rPr>
              <w:t xml:space="preserve"> </w:t>
            </w:r>
            <w:r w:rsidRPr="008E68BA">
              <w:rPr>
                <w:rFonts w:ascii="Arial" w:hAnsi="Arial" w:cs="Arial"/>
                <w:color w:val="000000"/>
              </w:rPr>
              <w:t xml:space="preserve">healthcare associated </w:t>
            </w:r>
            <w:r w:rsidRPr="008E68BA">
              <w:rPr>
                <w:rFonts w:ascii="Arial" w:hAnsi="Arial" w:cs="Arial"/>
              </w:rPr>
              <w:t xml:space="preserve">ECB in </w:t>
            </w:r>
            <w:r w:rsidR="00A77974" w:rsidRPr="008E68BA">
              <w:rPr>
                <w:rFonts w:ascii="Arial" w:hAnsi="Arial" w:cs="Arial"/>
                <w:color w:val="000000"/>
              </w:rPr>
              <w:t>September</w:t>
            </w:r>
            <w:r w:rsidR="000F76D5" w:rsidRPr="008E68BA">
              <w:rPr>
                <w:rFonts w:ascii="Arial" w:hAnsi="Arial" w:cs="Arial"/>
                <w:color w:val="000000"/>
              </w:rPr>
              <w:t xml:space="preserve"> </w:t>
            </w:r>
            <w:r w:rsidR="00C762E2" w:rsidRPr="008E68BA">
              <w:rPr>
                <w:rFonts w:ascii="Arial" w:hAnsi="Arial" w:cs="Arial"/>
                <w:color w:val="000000"/>
              </w:rPr>
              <w:t>2021</w:t>
            </w:r>
            <w:r w:rsidR="003353DE" w:rsidRPr="008E68BA">
              <w:rPr>
                <w:rFonts w:ascii="Arial" w:hAnsi="Arial" w:cs="Arial"/>
                <w:color w:val="000000"/>
              </w:rPr>
              <w:t xml:space="preserve"> and </w:t>
            </w:r>
            <w:r w:rsidR="004D5D8F" w:rsidRPr="008E68BA">
              <w:rPr>
                <w:rFonts w:ascii="Arial" w:hAnsi="Arial" w:cs="Arial"/>
                <w:color w:val="000000"/>
              </w:rPr>
              <w:t>45</w:t>
            </w:r>
            <w:r w:rsidR="00C41E30" w:rsidRPr="008E68BA">
              <w:rPr>
                <w:rFonts w:ascii="Arial" w:hAnsi="Arial" w:cs="Arial"/>
                <w:color w:val="000000"/>
              </w:rPr>
              <w:t xml:space="preserve"> </w:t>
            </w:r>
            <w:r w:rsidR="00C963B6" w:rsidRPr="008E68BA">
              <w:rPr>
                <w:rFonts w:ascii="Arial" w:hAnsi="Arial" w:cs="Arial"/>
              </w:rPr>
              <w:t>in</w:t>
            </w:r>
            <w:r w:rsidR="00A77974" w:rsidRPr="008E68BA">
              <w:rPr>
                <w:rFonts w:ascii="Arial" w:hAnsi="Arial" w:cs="Arial"/>
                <w:color w:val="000000"/>
              </w:rPr>
              <w:t xml:space="preserve"> October </w:t>
            </w:r>
            <w:r w:rsidR="00C963B6" w:rsidRPr="008E68BA">
              <w:rPr>
                <w:rFonts w:ascii="Arial" w:hAnsi="Arial" w:cs="Arial"/>
                <w:color w:val="000000"/>
              </w:rPr>
              <w:t>2021</w:t>
            </w:r>
            <w:r w:rsidR="00EB7476" w:rsidRPr="008E68BA">
              <w:rPr>
                <w:rFonts w:ascii="Arial" w:hAnsi="Arial" w:cs="Arial"/>
                <w:color w:val="000000"/>
              </w:rPr>
              <w:t>. Aim is 38 or less per month</w:t>
            </w:r>
            <w:r w:rsidR="00E31F7E" w:rsidRPr="008E68BA">
              <w:rPr>
                <w:rFonts w:ascii="Arial" w:hAnsi="Arial" w:cs="Arial"/>
                <w:color w:val="000000"/>
              </w:rPr>
              <w:t>.</w:t>
            </w:r>
          </w:p>
          <w:p w14:paraId="5A3FF7B2" w14:textId="77777777" w:rsidR="001C2124" w:rsidRPr="008E68BA" w:rsidRDefault="001C2124" w:rsidP="008E68BA">
            <w:pPr>
              <w:rPr>
                <w:rFonts w:ascii="Arial" w:hAnsi="Arial" w:cs="Arial"/>
              </w:rPr>
            </w:pPr>
          </w:p>
          <w:p w14:paraId="630E59EE" w14:textId="77777777" w:rsidR="001C2124" w:rsidRPr="008E68BA" w:rsidRDefault="001C2124" w:rsidP="008E68BA">
            <w:pPr>
              <w:ind w:firstLine="176"/>
              <w:rPr>
                <w:rFonts w:ascii="Arial" w:hAnsi="Arial" w:cs="Arial"/>
                <w:b/>
              </w:rPr>
            </w:pPr>
            <w:r w:rsidRPr="008E68BA">
              <w:rPr>
                <w:rFonts w:ascii="Arial" w:hAnsi="Arial" w:cs="Arial"/>
                <w:b/>
              </w:rPr>
              <w:t>SAB, CDI and ECB case numbers remain within control limits this month</w:t>
            </w:r>
            <w:r w:rsidR="00072B2E" w:rsidRPr="008E68BA">
              <w:rPr>
                <w:rFonts w:ascii="Arial" w:hAnsi="Arial" w:cs="Arial"/>
                <w:b/>
              </w:rPr>
              <w:t xml:space="preserve">. </w:t>
            </w:r>
          </w:p>
          <w:p w14:paraId="389CD960" w14:textId="77777777" w:rsidR="001C2124" w:rsidRPr="008E68BA" w:rsidRDefault="001C2124" w:rsidP="008E68BA">
            <w:pPr>
              <w:rPr>
                <w:rFonts w:ascii="Arial" w:hAnsi="Arial" w:cs="Arial"/>
                <w:u w:val="single"/>
              </w:rPr>
            </w:pPr>
          </w:p>
          <w:p w14:paraId="744C1083" w14:textId="77777777" w:rsidR="001C2124" w:rsidRPr="008E68BA" w:rsidRDefault="001C2124" w:rsidP="008E68BA">
            <w:pPr>
              <w:ind w:firstLine="176"/>
              <w:rPr>
                <w:rFonts w:ascii="Arial" w:hAnsi="Arial" w:cs="Arial"/>
                <w:b/>
                <w:u w:val="single"/>
              </w:rPr>
            </w:pPr>
            <w:r w:rsidRPr="008E68BA">
              <w:rPr>
                <w:rFonts w:ascii="Arial" w:hAnsi="Arial" w:cs="Arial"/>
                <w:b/>
                <w:u w:val="single"/>
              </w:rPr>
              <w:t>Surgical Site Infection Surveillance</w:t>
            </w:r>
          </w:p>
          <w:p w14:paraId="25226D39" w14:textId="34DEEE92" w:rsidR="001C2124" w:rsidRPr="008E68BA" w:rsidRDefault="001C2124" w:rsidP="008E68BA">
            <w:pPr>
              <w:pStyle w:val="ListParagraph"/>
              <w:numPr>
                <w:ilvl w:val="0"/>
                <w:numId w:val="6"/>
              </w:numPr>
              <w:ind w:left="601" w:hanging="283"/>
              <w:contextualSpacing/>
              <w:rPr>
                <w:rStyle w:val="IntenseEmphasis"/>
                <w:rFonts w:ascii="Arial" w:hAnsi="Arial" w:cs="Arial"/>
                <w:b w:val="0"/>
                <w:bCs w:val="0"/>
                <w:i w:val="0"/>
                <w:iCs w:val="0"/>
                <w:color w:val="000000" w:themeColor="text1"/>
              </w:rPr>
            </w:pPr>
            <w:r w:rsidRPr="008E68BA">
              <w:rPr>
                <w:rStyle w:val="IntenseEmphasis"/>
                <w:rFonts w:ascii="Arial" w:hAnsi="Arial" w:cs="Arial"/>
                <w:b w:val="0"/>
                <w:i w:val="0"/>
                <w:iCs w:val="0"/>
                <w:color w:val="auto"/>
              </w:rPr>
              <w:t>Surveillance paused nationally (CNO letter 25</w:t>
            </w:r>
            <w:r w:rsidR="00D837F5" w:rsidRPr="008E68BA">
              <w:rPr>
                <w:rStyle w:val="IntenseEmphasis"/>
                <w:rFonts w:ascii="Arial" w:hAnsi="Arial" w:cs="Arial"/>
                <w:b w:val="0"/>
                <w:i w:val="0"/>
                <w:iCs w:val="0"/>
                <w:color w:val="auto"/>
                <w:vertAlign w:val="superscript"/>
              </w:rPr>
              <w:t>th</w:t>
            </w:r>
            <w:r w:rsidRPr="008E68BA">
              <w:rPr>
                <w:rStyle w:val="IntenseEmphasis"/>
                <w:rFonts w:ascii="Arial" w:hAnsi="Arial" w:cs="Arial"/>
                <w:b w:val="0"/>
                <w:i w:val="0"/>
                <w:iCs w:val="0"/>
                <w:color w:val="auto"/>
              </w:rPr>
              <w:t xml:space="preserve"> March 2020)</w:t>
            </w:r>
            <w:r w:rsidR="00A96370" w:rsidRPr="008E68BA">
              <w:rPr>
                <w:rStyle w:val="IntenseEmphasis"/>
                <w:rFonts w:ascii="Arial" w:hAnsi="Arial" w:cs="Arial"/>
                <w:b w:val="0"/>
                <w:i w:val="0"/>
                <w:iCs w:val="0"/>
                <w:color w:val="auto"/>
              </w:rPr>
              <w:t xml:space="preserve"> </w:t>
            </w:r>
            <w:r w:rsidR="00A96370" w:rsidRPr="008E68BA">
              <w:rPr>
                <w:rStyle w:val="IntenseEmphasis"/>
                <w:rFonts w:ascii="Arial" w:hAnsi="Arial" w:cs="Arial"/>
                <w:b w:val="0"/>
                <w:i w:val="0"/>
                <w:iCs w:val="0"/>
                <w:color w:val="000000" w:themeColor="text1"/>
              </w:rPr>
              <w:t>however, NHSGGC continue with the local surveillance programme with regular reports/feedback to frontline clinical teams.</w:t>
            </w:r>
          </w:p>
          <w:p w14:paraId="052070D9" w14:textId="77777777" w:rsidR="00046237" w:rsidRPr="008E68BA" w:rsidRDefault="00046237" w:rsidP="008E68BA">
            <w:pPr>
              <w:tabs>
                <w:tab w:val="left" w:pos="176"/>
              </w:tabs>
              <w:spacing w:after="120"/>
              <w:contextualSpacing/>
              <w:rPr>
                <w:rFonts w:ascii="Arial" w:hAnsi="Arial" w:cs="Arial"/>
              </w:rPr>
            </w:pPr>
          </w:p>
          <w:p w14:paraId="5A6EC3FA" w14:textId="77777777" w:rsidR="007564A8" w:rsidRPr="008E68BA" w:rsidRDefault="007564A8" w:rsidP="008E68BA">
            <w:pPr>
              <w:tabs>
                <w:tab w:val="left" w:pos="176"/>
              </w:tabs>
              <w:spacing w:after="120"/>
              <w:contextualSpacing/>
              <w:rPr>
                <w:rFonts w:ascii="Arial" w:hAnsi="Arial" w:cs="Arial"/>
              </w:rPr>
            </w:pPr>
          </w:p>
        </w:tc>
      </w:tr>
    </w:tbl>
    <w:p w14:paraId="569AF9D9" w14:textId="77777777" w:rsidR="0082752E" w:rsidRPr="008E68BA" w:rsidRDefault="0082752E" w:rsidP="008E68BA">
      <w:pPr>
        <w:ind w:right="142"/>
        <w:rPr>
          <w:rFonts w:ascii="Arial" w:eastAsia="Calibri" w:hAnsi="Arial" w:cs="Arial"/>
          <w:lang w:eastAsia="en-US"/>
        </w:rPr>
      </w:pPr>
    </w:p>
    <w:p w14:paraId="0F56E4BC" w14:textId="77777777" w:rsidR="00452880" w:rsidRPr="008E68BA" w:rsidRDefault="00452880" w:rsidP="008E68BA">
      <w:pPr>
        <w:ind w:right="283"/>
        <w:rPr>
          <w:rFonts w:ascii="Arial" w:eastAsia="Calibri" w:hAnsi="Arial" w:cs="Arial"/>
          <w:lang w:eastAsia="en-US"/>
        </w:rPr>
      </w:pPr>
    </w:p>
    <w:p w14:paraId="09227738" w14:textId="77777777" w:rsidR="00A55387" w:rsidRPr="008E68BA" w:rsidRDefault="00A55387" w:rsidP="008E68BA">
      <w:pPr>
        <w:rPr>
          <w:rFonts w:ascii="Arial" w:hAnsi="Arial" w:cs="Arial"/>
        </w:rPr>
      </w:pPr>
    </w:p>
    <w:tbl>
      <w:tblPr>
        <w:tblStyle w:val="TableGrid"/>
        <w:tblW w:w="0" w:type="auto"/>
        <w:tblLayout w:type="fixed"/>
        <w:tblLook w:val="04A0" w:firstRow="1" w:lastRow="0" w:firstColumn="1" w:lastColumn="0" w:noHBand="0" w:noVBand="1"/>
      </w:tblPr>
      <w:tblGrid>
        <w:gridCol w:w="4531"/>
        <w:gridCol w:w="4962"/>
      </w:tblGrid>
      <w:tr w:rsidR="00E72593" w:rsidRPr="008E68BA" w14:paraId="7BEA7FC8" w14:textId="77777777" w:rsidTr="008E4CA9">
        <w:tc>
          <w:tcPr>
            <w:tcW w:w="9493" w:type="dxa"/>
            <w:gridSpan w:val="2"/>
            <w:shd w:val="clear" w:color="auto" w:fill="D9D9D9" w:themeFill="background1" w:themeFillShade="D9"/>
          </w:tcPr>
          <w:p w14:paraId="0A445E83" w14:textId="77777777" w:rsidR="00E72593" w:rsidRPr="008E68BA" w:rsidRDefault="00E326DB" w:rsidP="008E68BA">
            <w:pPr>
              <w:spacing w:before="40" w:after="40"/>
              <w:rPr>
                <w:rFonts w:ascii="Arial" w:hAnsi="Arial" w:cs="Arial"/>
                <w:b/>
                <w:color w:val="000000"/>
              </w:rPr>
            </w:pPr>
            <w:r w:rsidRPr="008E68BA">
              <w:rPr>
                <w:rStyle w:val="IntenseEmphasis"/>
                <w:rFonts w:ascii="Arial" w:hAnsi="Arial" w:cs="Arial"/>
                <w:color w:val="000000"/>
              </w:rPr>
              <w:t xml:space="preserve">  </w:t>
            </w:r>
            <w:r w:rsidR="00E72593" w:rsidRPr="008E68BA">
              <w:rPr>
                <w:rStyle w:val="IntenseEmphasis"/>
                <w:rFonts w:ascii="Arial" w:hAnsi="Arial" w:cs="Arial"/>
                <w:color w:val="000000"/>
              </w:rPr>
              <w:t>Staphylococcus aureus</w:t>
            </w:r>
            <w:r w:rsidR="00E72593" w:rsidRPr="008E68BA">
              <w:rPr>
                <w:rStyle w:val="IntenseEmphasis"/>
                <w:rFonts w:ascii="Arial" w:hAnsi="Arial" w:cs="Arial"/>
                <w:i w:val="0"/>
                <w:color w:val="000000"/>
              </w:rPr>
              <w:t xml:space="preserve"> bacteraemia (SAB)</w:t>
            </w:r>
          </w:p>
        </w:tc>
      </w:tr>
      <w:tr w:rsidR="00064D66" w:rsidRPr="008E68BA" w14:paraId="407259FE" w14:textId="77777777" w:rsidTr="008E4CA9">
        <w:trPr>
          <w:trHeight w:val="1550"/>
        </w:trPr>
        <w:tc>
          <w:tcPr>
            <w:tcW w:w="4531" w:type="dxa"/>
            <w:tcBorders>
              <w:bottom w:val="single" w:sz="4" w:space="0" w:color="000000"/>
            </w:tcBorders>
          </w:tcPr>
          <w:p w14:paraId="6E3524B3" w14:textId="77777777" w:rsidR="00787417" w:rsidRPr="008E68BA" w:rsidRDefault="00787417" w:rsidP="008E68BA">
            <w:pPr>
              <w:ind w:right="142"/>
              <w:rPr>
                <w:rFonts w:ascii="Arial" w:hAnsi="Arial" w:cs="Arial"/>
              </w:rPr>
            </w:pPr>
          </w:p>
          <w:tbl>
            <w:tblPr>
              <w:tblStyle w:val="TableGrid"/>
              <w:tblW w:w="0" w:type="auto"/>
              <w:jc w:val="center"/>
              <w:tblLayout w:type="fixed"/>
              <w:tblLook w:val="04A0" w:firstRow="1" w:lastRow="0" w:firstColumn="1" w:lastColumn="0" w:noHBand="0" w:noVBand="1"/>
            </w:tblPr>
            <w:tblGrid>
              <w:gridCol w:w="1316"/>
              <w:gridCol w:w="1231"/>
              <w:gridCol w:w="1417"/>
            </w:tblGrid>
            <w:tr w:rsidR="00206A99" w:rsidRPr="008E68BA" w14:paraId="011B90F2" w14:textId="77777777" w:rsidTr="005278D8">
              <w:trPr>
                <w:trHeight w:val="199"/>
                <w:jc w:val="center"/>
              </w:trPr>
              <w:tc>
                <w:tcPr>
                  <w:tcW w:w="1316" w:type="dxa"/>
                  <w:shd w:val="clear" w:color="auto" w:fill="D5DCE4" w:themeFill="text2" w:themeFillTint="33"/>
                </w:tcPr>
                <w:p w14:paraId="07CDC969" w14:textId="77777777" w:rsidR="00206A99" w:rsidRPr="008E68BA" w:rsidRDefault="00206A99" w:rsidP="008E68BA">
                  <w:pPr>
                    <w:ind w:firstLine="221"/>
                    <w:rPr>
                      <w:rFonts w:ascii="Arial" w:hAnsi="Arial" w:cs="Arial"/>
                      <w:b/>
                    </w:rPr>
                  </w:pPr>
                </w:p>
              </w:tc>
              <w:tc>
                <w:tcPr>
                  <w:tcW w:w="1231" w:type="dxa"/>
                  <w:tcBorders>
                    <w:bottom w:val="single" w:sz="4" w:space="0" w:color="auto"/>
                  </w:tcBorders>
                  <w:shd w:val="clear" w:color="auto" w:fill="D5DCE4" w:themeFill="text2" w:themeFillTint="33"/>
                </w:tcPr>
                <w:p w14:paraId="7CB487A6" w14:textId="5352BFF4" w:rsidR="00206A99" w:rsidRPr="008E68BA" w:rsidRDefault="00206A99" w:rsidP="008E68BA">
                  <w:pPr>
                    <w:rPr>
                      <w:rFonts w:ascii="Arial" w:eastAsia="Calibri" w:hAnsi="Arial" w:cs="Arial"/>
                      <w:b/>
                      <w:color w:val="000000" w:themeColor="text1"/>
                      <w:lang w:eastAsia="en-US"/>
                    </w:rPr>
                  </w:pPr>
                  <w:r w:rsidRPr="008E68BA">
                    <w:rPr>
                      <w:rFonts w:ascii="Arial" w:eastAsia="Calibri" w:hAnsi="Arial" w:cs="Arial"/>
                      <w:b/>
                      <w:color w:val="000000" w:themeColor="text1"/>
                      <w:lang w:eastAsia="en-US"/>
                    </w:rPr>
                    <w:t>Sep 2021</w:t>
                  </w:r>
                </w:p>
              </w:tc>
              <w:tc>
                <w:tcPr>
                  <w:tcW w:w="1417" w:type="dxa"/>
                  <w:tcBorders>
                    <w:bottom w:val="single" w:sz="4" w:space="0" w:color="auto"/>
                  </w:tcBorders>
                  <w:shd w:val="clear" w:color="auto" w:fill="D5DCE4" w:themeFill="text2" w:themeFillTint="33"/>
                </w:tcPr>
                <w:p w14:paraId="34C4E896" w14:textId="59646FD7" w:rsidR="00206A99" w:rsidRPr="008E68BA" w:rsidRDefault="00206A99" w:rsidP="008E68BA">
                  <w:pPr>
                    <w:rPr>
                      <w:rFonts w:ascii="Arial" w:eastAsia="Calibri" w:hAnsi="Arial" w:cs="Arial"/>
                      <w:b/>
                      <w:color w:val="000000" w:themeColor="text1"/>
                      <w:lang w:eastAsia="en-US"/>
                    </w:rPr>
                  </w:pPr>
                  <w:r w:rsidRPr="008E68BA">
                    <w:rPr>
                      <w:rFonts w:ascii="Arial" w:eastAsia="Calibri" w:hAnsi="Arial" w:cs="Arial"/>
                      <w:b/>
                      <w:color w:val="000000" w:themeColor="text1"/>
                      <w:lang w:eastAsia="en-US"/>
                    </w:rPr>
                    <w:t>Oct 2021</w:t>
                  </w:r>
                </w:p>
              </w:tc>
            </w:tr>
            <w:tr w:rsidR="005048FF" w:rsidRPr="008E68BA" w14:paraId="631E7F1D" w14:textId="77777777" w:rsidTr="00FD04AF">
              <w:trPr>
                <w:trHeight w:val="199"/>
                <w:jc w:val="center"/>
              </w:trPr>
              <w:tc>
                <w:tcPr>
                  <w:tcW w:w="1316" w:type="dxa"/>
                </w:tcPr>
                <w:p w14:paraId="19944E36" w14:textId="77777777" w:rsidR="005048FF" w:rsidRPr="008E68BA" w:rsidRDefault="005048FF" w:rsidP="008E68BA">
                  <w:pPr>
                    <w:rPr>
                      <w:rFonts w:ascii="Arial" w:hAnsi="Arial" w:cs="Arial"/>
                      <w:b/>
                    </w:rPr>
                  </w:pPr>
                  <w:r w:rsidRPr="008E68BA">
                    <w:rPr>
                      <w:rFonts w:ascii="Arial" w:hAnsi="Arial" w:cs="Arial"/>
                      <w:b/>
                    </w:rPr>
                    <w:t>Total</w:t>
                  </w:r>
                </w:p>
              </w:tc>
              <w:tc>
                <w:tcPr>
                  <w:tcW w:w="1231" w:type="dxa"/>
                  <w:tcBorders>
                    <w:bottom w:val="single" w:sz="4" w:space="0" w:color="auto"/>
                  </w:tcBorders>
                  <w:shd w:val="clear" w:color="auto" w:fill="auto"/>
                </w:tcPr>
                <w:p w14:paraId="69892D3B" w14:textId="7BDA0A14" w:rsidR="005048FF" w:rsidRPr="008E68BA" w:rsidRDefault="000D09D9" w:rsidP="008E68BA">
                  <w:pPr>
                    <w:rPr>
                      <w:rFonts w:ascii="Arial" w:hAnsi="Arial" w:cs="Arial"/>
                      <w:b/>
                    </w:rPr>
                  </w:pPr>
                  <w:r w:rsidRPr="008E68BA">
                    <w:rPr>
                      <w:rFonts w:ascii="Arial" w:hAnsi="Arial" w:cs="Arial"/>
                      <w:b/>
                    </w:rPr>
                    <w:t>35</w:t>
                  </w:r>
                </w:p>
              </w:tc>
              <w:tc>
                <w:tcPr>
                  <w:tcW w:w="1417" w:type="dxa"/>
                  <w:tcBorders>
                    <w:bottom w:val="single" w:sz="4" w:space="0" w:color="auto"/>
                  </w:tcBorders>
                  <w:shd w:val="clear" w:color="auto" w:fill="auto"/>
                </w:tcPr>
                <w:p w14:paraId="4E991DF1" w14:textId="6E182C8A" w:rsidR="005048FF" w:rsidRPr="008E68BA" w:rsidRDefault="004D5D8F" w:rsidP="008E68BA">
                  <w:pPr>
                    <w:rPr>
                      <w:rFonts w:ascii="Arial" w:hAnsi="Arial" w:cs="Arial"/>
                      <w:b/>
                    </w:rPr>
                  </w:pPr>
                  <w:r w:rsidRPr="008E68BA">
                    <w:rPr>
                      <w:rFonts w:ascii="Arial" w:hAnsi="Arial" w:cs="Arial"/>
                      <w:b/>
                    </w:rPr>
                    <w:t>35</w:t>
                  </w:r>
                </w:p>
              </w:tc>
            </w:tr>
            <w:tr w:rsidR="005048FF" w:rsidRPr="008E68BA" w14:paraId="7FB50F10" w14:textId="77777777" w:rsidTr="00FD04AF">
              <w:trPr>
                <w:trHeight w:val="199"/>
                <w:jc w:val="center"/>
              </w:trPr>
              <w:tc>
                <w:tcPr>
                  <w:tcW w:w="1316" w:type="dxa"/>
                </w:tcPr>
                <w:p w14:paraId="23FF7033" w14:textId="77777777" w:rsidR="005048FF" w:rsidRPr="008E68BA" w:rsidRDefault="005048FF" w:rsidP="008E68BA">
                  <w:pPr>
                    <w:rPr>
                      <w:rFonts w:ascii="Arial" w:hAnsi="Arial" w:cs="Arial"/>
                    </w:rPr>
                  </w:pPr>
                  <w:r w:rsidRPr="008E68BA">
                    <w:rPr>
                      <w:rFonts w:ascii="Arial" w:hAnsi="Arial" w:cs="Arial"/>
                    </w:rPr>
                    <w:t xml:space="preserve">Hospital </w:t>
                  </w:r>
                  <w:r w:rsidR="00C7667A" w:rsidRPr="008E68BA">
                    <w:rPr>
                      <w:rFonts w:ascii="Arial" w:hAnsi="Arial" w:cs="Arial"/>
                    </w:rPr>
                    <w:t>*</w:t>
                  </w:r>
                </w:p>
              </w:tc>
              <w:tc>
                <w:tcPr>
                  <w:tcW w:w="1231" w:type="dxa"/>
                  <w:tcBorders>
                    <w:bottom w:val="single" w:sz="4" w:space="0" w:color="auto"/>
                  </w:tcBorders>
                  <w:shd w:val="clear" w:color="auto" w:fill="auto"/>
                </w:tcPr>
                <w:p w14:paraId="19802740" w14:textId="7ED3F484" w:rsidR="005048FF" w:rsidRPr="008E68BA" w:rsidRDefault="000D09D9" w:rsidP="008E68BA">
                  <w:pPr>
                    <w:rPr>
                      <w:rFonts w:ascii="Arial" w:hAnsi="Arial" w:cs="Arial"/>
                    </w:rPr>
                  </w:pPr>
                  <w:r w:rsidRPr="008E68BA">
                    <w:rPr>
                      <w:rFonts w:ascii="Arial" w:hAnsi="Arial" w:cs="Arial"/>
                    </w:rPr>
                    <w:t>22</w:t>
                  </w:r>
                </w:p>
              </w:tc>
              <w:tc>
                <w:tcPr>
                  <w:tcW w:w="1417" w:type="dxa"/>
                  <w:tcBorders>
                    <w:bottom w:val="single" w:sz="4" w:space="0" w:color="auto"/>
                  </w:tcBorders>
                </w:tcPr>
                <w:p w14:paraId="646E8A1B" w14:textId="3071AC6F" w:rsidR="005048FF" w:rsidRPr="008E68BA" w:rsidRDefault="004D5D8F" w:rsidP="008E68BA">
                  <w:pPr>
                    <w:rPr>
                      <w:rFonts w:ascii="Arial" w:hAnsi="Arial" w:cs="Arial"/>
                    </w:rPr>
                  </w:pPr>
                  <w:r w:rsidRPr="008E68BA">
                    <w:rPr>
                      <w:rFonts w:ascii="Arial" w:hAnsi="Arial" w:cs="Arial"/>
                    </w:rPr>
                    <w:t>18</w:t>
                  </w:r>
                </w:p>
              </w:tc>
            </w:tr>
            <w:tr w:rsidR="005048FF" w:rsidRPr="008E68BA" w14:paraId="0F6D0AA5" w14:textId="77777777" w:rsidTr="00FD04AF">
              <w:trPr>
                <w:trHeight w:val="199"/>
                <w:jc w:val="center"/>
              </w:trPr>
              <w:tc>
                <w:tcPr>
                  <w:tcW w:w="1316" w:type="dxa"/>
                </w:tcPr>
                <w:p w14:paraId="600FD02C" w14:textId="77777777" w:rsidR="005048FF" w:rsidRPr="008E68BA" w:rsidRDefault="005048FF" w:rsidP="008E68BA">
                  <w:pPr>
                    <w:rPr>
                      <w:rFonts w:ascii="Arial" w:hAnsi="Arial" w:cs="Arial"/>
                    </w:rPr>
                  </w:pPr>
                  <w:r w:rsidRPr="008E68BA">
                    <w:rPr>
                      <w:rFonts w:ascii="Arial" w:hAnsi="Arial" w:cs="Arial"/>
                    </w:rPr>
                    <w:t>Healthcare</w:t>
                  </w:r>
                  <w:r w:rsidR="00C7667A" w:rsidRPr="008E68BA">
                    <w:rPr>
                      <w:rFonts w:ascii="Arial" w:hAnsi="Arial" w:cs="Arial"/>
                    </w:rPr>
                    <w:t>*</w:t>
                  </w:r>
                </w:p>
              </w:tc>
              <w:tc>
                <w:tcPr>
                  <w:tcW w:w="1231" w:type="dxa"/>
                  <w:tcBorders>
                    <w:bottom w:val="single" w:sz="4" w:space="0" w:color="auto"/>
                  </w:tcBorders>
                  <w:shd w:val="clear" w:color="auto" w:fill="auto"/>
                </w:tcPr>
                <w:p w14:paraId="59B20F76" w14:textId="11DB3C4F" w:rsidR="005048FF" w:rsidRPr="008E68BA" w:rsidRDefault="00A67055" w:rsidP="008E68BA">
                  <w:pPr>
                    <w:rPr>
                      <w:rFonts w:ascii="Arial" w:hAnsi="Arial" w:cs="Arial"/>
                    </w:rPr>
                  </w:pPr>
                  <w:r w:rsidRPr="008E68BA">
                    <w:rPr>
                      <w:rFonts w:ascii="Arial" w:hAnsi="Arial" w:cs="Arial"/>
                    </w:rPr>
                    <w:t>3</w:t>
                  </w:r>
                </w:p>
              </w:tc>
              <w:tc>
                <w:tcPr>
                  <w:tcW w:w="1417" w:type="dxa"/>
                  <w:tcBorders>
                    <w:bottom w:val="single" w:sz="4" w:space="0" w:color="auto"/>
                  </w:tcBorders>
                </w:tcPr>
                <w:p w14:paraId="1F07F5CA" w14:textId="13F0F35F" w:rsidR="005048FF" w:rsidRPr="008E68BA" w:rsidRDefault="004D5D8F" w:rsidP="008E68BA">
                  <w:pPr>
                    <w:tabs>
                      <w:tab w:val="left" w:pos="450"/>
                      <w:tab w:val="center" w:pos="600"/>
                    </w:tabs>
                    <w:rPr>
                      <w:rFonts w:ascii="Arial" w:hAnsi="Arial" w:cs="Arial"/>
                    </w:rPr>
                  </w:pPr>
                  <w:r w:rsidRPr="008E68BA">
                    <w:rPr>
                      <w:rFonts w:ascii="Arial" w:hAnsi="Arial" w:cs="Arial"/>
                    </w:rPr>
                    <w:t>8</w:t>
                  </w:r>
                </w:p>
              </w:tc>
            </w:tr>
            <w:tr w:rsidR="005048FF" w:rsidRPr="008E68BA" w14:paraId="271041F7" w14:textId="77777777" w:rsidTr="00FD04AF">
              <w:trPr>
                <w:trHeight w:val="199"/>
                <w:jc w:val="center"/>
              </w:trPr>
              <w:tc>
                <w:tcPr>
                  <w:tcW w:w="1316" w:type="dxa"/>
                </w:tcPr>
                <w:p w14:paraId="653E219F" w14:textId="77777777" w:rsidR="005048FF" w:rsidRPr="008E68BA" w:rsidRDefault="005048FF" w:rsidP="008E68BA">
                  <w:pPr>
                    <w:rPr>
                      <w:rFonts w:ascii="Arial" w:hAnsi="Arial" w:cs="Arial"/>
                    </w:rPr>
                  </w:pPr>
                  <w:r w:rsidRPr="008E68BA">
                    <w:rPr>
                      <w:rFonts w:ascii="Arial" w:hAnsi="Arial" w:cs="Arial"/>
                    </w:rPr>
                    <w:t>Community</w:t>
                  </w:r>
                </w:p>
              </w:tc>
              <w:tc>
                <w:tcPr>
                  <w:tcW w:w="1231" w:type="dxa"/>
                  <w:shd w:val="clear" w:color="auto" w:fill="auto"/>
                </w:tcPr>
                <w:p w14:paraId="1B9CCE1F" w14:textId="3AD0FA91" w:rsidR="005048FF" w:rsidRPr="008E68BA" w:rsidRDefault="000D09D9" w:rsidP="008E68BA">
                  <w:pPr>
                    <w:rPr>
                      <w:rFonts w:ascii="Arial" w:hAnsi="Arial" w:cs="Arial"/>
                    </w:rPr>
                  </w:pPr>
                  <w:r w:rsidRPr="008E68BA">
                    <w:rPr>
                      <w:rFonts w:ascii="Arial" w:hAnsi="Arial" w:cs="Arial"/>
                    </w:rPr>
                    <w:t>1</w:t>
                  </w:r>
                  <w:r w:rsidR="00A67055" w:rsidRPr="008E68BA">
                    <w:rPr>
                      <w:rFonts w:ascii="Arial" w:hAnsi="Arial" w:cs="Arial"/>
                    </w:rPr>
                    <w:t>0</w:t>
                  </w:r>
                </w:p>
              </w:tc>
              <w:tc>
                <w:tcPr>
                  <w:tcW w:w="1417" w:type="dxa"/>
                </w:tcPr>
                <w:p w14:paraId="699C2A51" w14:textId="1DB53D35" w:rsidR="005048FF" w:rsidRPr="008E68BA" w:rsidRDefault="004D5D8F" w:rsidP="008E68BA">
                  <w:pPr>
                    <w:rPr>
                      <w:rFonts w:ascii="Arial" w:hAnsi="Arial" w:cs="Arial"/>
                    </w:rPr>
                  </w:pPr>
                  <w:r w:rsidRPr="008E68BA">
                    <w:rPr>
                      <w:rFonts w:ascii="Arial" w:hAnsi="Arial" w:cs="Arial"/>
                    </w:rPr>
                    <w:t>9</w:t>
                  </w:r>
                </w:p>
              </w:tc>
            </w:tr>
          </w:tbl>
          <w:p w14:paraId="35BF60B8" w14:textId="77777777" w:rsidR="00934750" w:rsidRPr="008E68BA" w:rsidRDefault="00934750" w:rsidP="008E68BA">
            <w:pPr>
              <w:ind w:right="142"/>
              <w:rPr>
                <w:rFonts w:ascii="Arial" w:hAnsi="Arial" w:cs="Arial"/>
              </w:rPr>
            </w:pPr>
          </w:p>
          <w:p w14:paraId="09EE5155" w14:textId="77777777" w:rsidR="00B3032D" w:rsidRPr="008E68BA" w:rsidRDefault="00B3032D" w:rsidP="008E68BA">
            <w:pPr>
              <w:ind w:right="142"/>
              <w:rPr>
                <w:rFonts w:ascii="Arial" w:hAnsi="Arial" w:cs="Arial"/>
              </w:rPr>
            </w:pPr>
            <w:r w:rsidRPr="008E68BA">
              <w:rPr>
                <w:rFonts w:ascii="Arial" w:hAnsi="Arial" w:cs="Arial"/>
                <w:b/>
                <w:color w:val="000000"/>
              </w:rPr>
              <w:t>HCAI Aim for Hospital and Healthcare is 23.</w:t>
            </w:r>
          </w:p>
        </w:tc>
        <w:tc>
          <w:tcPr>
            <w:tcW w:w="4962" w:type="dxa"/>
            <w:tcBorders>
              <w:bottom w:val="single" w:sz="4" w:space="0" w:color="000000"/>
            </w:tcBorders>
          </w:tcPr>
          <w:p w14:paraId="16B2DF3B" w14:textId="77777777" w:rsidR="00064D66" w:rsidRPr="008E68BA" w:rsidRDefault="00064D66" w:rsidP="008E68BA">
            <w:pPr>
              <w:rPr>
                <w:rFonts w:ascii="Arial" w:hAnsi="Arial" w:cs="Arial"/>
                <w:b/>
                <w:color w:val="000000"/>
              </w:rPr>
            </w:pPr>
          </w:p>
          <w:p w14:paraId="721764BA" w14:textId="11E7AED0" w:rsidR="00206A99" w:rsidRPr="008E68BA" w:rsidRDefault="00206A99" w:rsidP="008E68BA">
            <w:pPr>
              <w:rPr>
                <w:rFonts w:ascii="Arial" w:hAnsi="Arial" w:cs="Arial"/>
                <w:b/>
                <w:color w:val="000000" w:themeColor="text1"/>
              </w:rPr>
            </w:pPr>
            <w:r w:rsidRPr="008E68BA">
              <w:rPr>
                <w:rFonts w:ascii="Arial" w:hAnsi="Arial" w:cs="Arial"/>
                <w:b/>
                <w:color w:val="000000" w:themeColor="text1"/>
              </w:rPr>
              <w:t xml:space="preserve">Healthcare associated </w:t>
            </w:r>
            <w:r w:rsidRPr="008E68BA">
              <w:rPr>
                <w:rFonts w:ascii="Arial" w:hAnsi="Arial" w:cs="Arial"/>
                <w:b/>
                <w:i/>
                <w:color w:val="000000" w:themeColor="text1"/>
              </w:rPr>
              <w:t>S. aureus</w:t>
            </w:r>
            <w:r w:rsidRPr="008E68BA">
              <w:rPr>
                <w:rFonts w:ascii="Arial" w:hAnsi="Arial" w:cs="Arial"/>
                <w:b/>
                <w:color w:val="000000" w:themeColor="text1"/>
              </w:rPr>
              <w:t xml:space="preserve"> bacteraemia total for a rolling year: November 2020 to October 2021 =</w:t>
            </w:r>
            <w:r w:rsidR="00A67055" w:rsidRPr="008E68BA">
              <w:rPr>
                <w:rFonts w:ascii="Arial" w:hAnsi="Arial" w:cs="Arial"/>
                <w:b/>
                <w:color w:val="000000" w:themeColor="text1"/>
              </w:rPr>
              <w:t>302</w:t>
            </w:r>
            <w:r w:rsidRPr="008E68BA">
              <w:rPr>
                <w:rFonts w:ascii="Arial" w:hAnsi="Arial" w:cs="Arial"/>
                <w:b/>
                <w:color w:val="000000" w:themeColor="text1"/>
              </w:rPr>
              <w:t>.</w:t>
            </w:r>
          </w:p>
          <w:p w14:paraId="06802205" w14:textId="77777777" w:rsidR="00206A99" w:rsidRPr="008E68BA" w:rsidRDefault="00206A99" w:rsidP="008E68BA">
            <w:pPr>
              <w:rPr>
                <w:rFonts w:ascii="Arial" w:hAnsi="Arial" w:cs="Arial"/>
                <w:b/>
                <w:color w:val="000000" w:themeColor="text1"/>
              </w:rPr>
            </w:pPr>
            <w:r w:rsidRPr="008E68BA">
              <w:rPr>
                <w:rFonts w:ascii="Arial" w:hAnsi="Arial" w:cs="Arial"/>
                <w:b/>
                <w:color w:val="000000" w:themeColor="text1"/>
              </w:rPr>
              <w:t>HCAI yearly aim is 280.</w:t>
            </w:r>
          </w:p>
          <w:p w14:paraId="7CA5C366" w14:textId="77777777" w:rsidR="00206A99" w:rsidRPr="008E68BA" w:rsidRDefault="00206A99" w:rsidP="008E68BA">
            <w:pPr>
              <w:rPr>
                <w:rFonts w:ascii="Arial" w:hAnsi="Arial" w:cs="Arial"/>
                <w:b/>
                <w:color w:val="C00000"/>
              </w:rPr>
            </w:pPr>
          </w:p>
          <w:p w14:paraId="7E4618FC" w14:textId="6C8F4E9C" w:rsidR="00206A99" w:rsidRPr="008E68BA" w:rsidRDefault="00206A99" w:rsidP="008E68BA">
            <w:pPr>
              <w:rPr>
                <w:rFonts w:ascii="Arial" w:hAnsi="Arial" w:cs="Arial"/>
                <w:b/>
                <w:color w:val="000000" w:themeColor="text1"/>
              </w:rPr>
            </w:pPr>
            <w:r w:rsidRPr="008E68BA">
              <w:rPr>
                <w:rFonts w:ascii="Arial" w:hAnsi="Arial" w:cs="Arial"/>
                <w:b/>
                <w:color w:val="000000" w:themeColor="text1"/>
              </w:rPr>
              <w:t>*Hospital and Healthcare are the cases which are included in the Scottish Government (SG) reduction target (n=</w:t>
            </w:r>
            <w:r w:rsidR="00A67055" w:rsidRPr="008E68BA">
              <w:rPr>
                <w:rFonts w:ascii="Arial" w:hAnsi="Arial" w:cs="Arial"/>
                <w:b/>
                <w:color w:val="000000" w:themeColor="text1"/>
              </w:rPr>
              <w:t>25</w:t>
            </w:r>
            <w:r w:rsidRPr="008E68BA">
              <w:rPr>
                <w:rFonts w:ascii="Arial" w:hAnsi="Arial" w:cs="Arial"/>
                <w:b/>
                <w:color w:val="000000" w:themeColor="text1"/>
              </w:rPr>
              <w:t>) in September and (n=</w:t>
            </w:r>
            <w:r w:rsidR="004D5D8F" w:rsidRPr="008E68BA">
              <w:rPr>
                <w:rFonts w:ascii="Arial" w:hAnsi="Arial" w:cs="Arial"/>
                <w:b/>
                <w:color w:val="000000" w:themeColor="text1"/>
              </w:rPr>
              <w:t>26</w:t>
            </w:r>
            <w:r w:rsidRPr="008E68BA">
              <w:rPr>
                <w:rFonts w:ascii="Arial" w:hAnsi="Arial" w:cs="Arial"/>
                <w:b/>
                <w:color w:val="000000" w:themeColor="text1"/>
              </w:rPr>
              <w:t>) in October 2021.</w:t>
            </w:r>
          </w:p>
          <w:p w14:paraId="5C583EE9" w14:textId="77777777" w:rsidR="007F3E16" w:rsidRPr="008E68BA" w:rsidRDefault="007F3E16" w:rsidP="008E68BA">
            <w:pPr>
              <w:rPr>
                <w:rFonts w:ascii="Arial" w:hAnsi="Arial" w:cs="Arial"/>
                <w:color w:val="000000"/>
              </w:rPr>
            </w:pPr>
          </w:p>
        </w:tc>
      </w:tr>
      <w:tr w:rsidR="00C7667A" w:rsidRPr="008E68BA" w14:paraId="1CD8F34F" w14:textId="77777777" w:rsidTr="008E4CA9">
        <w:tc>
          <w:tcPr>
            <w:tcW w:w="9493" w:type="dxa"/>
            <w:gridSpan w:val="2"/>
            <w:tcBorders>
              <w:bottom w:val="nil"/>
            </w:tcBorders>
          </w:tcPr>
          <w:p w14:paraId="43292764" w14:textId="42BE2FD9" w:rsidR="007F3E16" w:rsidRPr="008E68BA" w:rsidRDefault="007F3E16" w:rsidP="008E68BA">
            <w:pPr>
              <w:rPr>
                <w:rFonts w:ascii="Arial" w:hAnsi="Arial" w:cs="Arial"/>
                <w:b/>
                <w:color w:val="000000"/>
              </w:rPr>
            </w:pPr>
          </w:p>
        </w:tc>
      </w:tr>
      <w:tr w:rsidR="00C7667A" w:rsidRPr="008E68BA" w14:paraId="3B4F38F2" w14:textId="77777777" w:rsidTr="008E4CA9">
        <w:tc>
          <w:tcPr>
            <w:tcW w:w="9493" w:type="dxa"/>
            <w:gridSpan w:val="2"/>
            <w:tcBorders>
              <w:top w:val="nil"/>
              <w:bottom w:val="single" w:sz="4" w:space="0" w:color="000000"/>
            </w:tcBorders>
          </w:tcPr>
          <w:p w14:paraId="153E5D71" w14:textId="77777777" w:rsidR="00452880" w:rsidRPr="008E68BA" w:rsidRDefault="00C7667A" w:rsidP="008E68BA">
            <w:pPr>
              <w:rPr>
                <w:rFonts w:ascii="Arial" w:eastAsia="Calibri" w:hAnsi="Arial" w:cs="Arial"/>
                <w:lang w:eastAsia="en-US"/>
              </w:rPr>
            </w:pPr>
            <w:r w:rsidRPr="008E68BA">
              <w:rPr>
                <w:rFonts w:ascii="Arial" w:eastAsia="Calibri" w:hAnsi="Arial" w:cs="Arial"/>
                <w:b/>
              </w:rPr>
              <w:t>Comment:</w:t>
            </w:r>
            <w:r w:rsidRPr="008E68BA">
              <w:rPr>
                <w:rFonts w:ascii="Arial" w:eastAsia="Calibri" w:hAnsi="Arial" w:cs="Arial"/>
                <w:lang w:eastAsia="en-US"/>
              </w:rPr>
              <w:t xml:space="preserve"> </w:t>
            </w:r>
          </w:p>
          <w:p w14:paraId="01C7F6D8" w14:textId="761A11AD" w:rsidR="00D20673" w:rsidRPr="008E68BA" w:rsidRDefault="00C7667A" w:rsidP="008E68BA">
            <w:pPr>
              <w:pStyle w:val="ListParagraph"/>
              <w:numPr>
                <w:ilvl w:val="0"/>
                <w:numId w:val="34"/>
              </w:numPr>
              <w:rPr>
                <w:rFonts w:ascii="Arial" w:eastAsia="Calibri" w:hAnsi="Arial" w:cs="Arial"/>
                <w:lang w:eastAsia="en-US"/>
              </w:rPr>
            </w:pPr>
            <w:r w:rsidRPr="008E68BA">
              <w:rPr>
                <w:rFonts w:ascii="Arial" w:eastAsia="Calibri" w:hAnsi="Arial" w:cs="Arial"/>
                <w:lang w:eastAsia="en-US"/>
              </w:rPr>
              <w:t xml:space="preserve">Overall SAB numbers have been stable since August 2019 </w:t>
            </w:r>
            <w:r w:rsidR="00C24FA8" w:rsidRPr="008E68BA">
              <w:rPr>
                <w:rFonts w:ascii="Arial" w:eastAsia="Calibri" w:hAnsi="Arial" w:cs="Arial"/>
                <w:lang w:eastAsia="en-US"/>
              </w:rPr>
              <w:t xml:space="preserve">and </w:t>
            </w:r>
            <w:r w:rsidR="00A96370" w:rsidRPr="008E68BA">
              <w:rPr>
                <w:rFonts w:ascii="Arial" w:eastAsia="Calibri" w:hAnsi="Arial" w:cs="Arial"/>
                <w:lang w:eastAsia="en-US"/>
              </w:rPr>
              <w:t>in control with minimal variation</w:t>
            </w:r>
            <w:r w:rsidR="003C2E9A" w:rsidRPr="008E68BA">
              <w:rPr>
                <w:rFonts w:ascii="Arial" w:eastAsia="Calibri" w:hAnsi="Arial" w:cs="Arial"/>
                <w:lang w:eastAsia="en-US"/>
              </w:rPr>
              <w:t xml:space="preserve"> which indicates a stable system</w:t>
            </w:r>
            <w:r w:rsidR="00A96370" w:rsidRPr="008E68BA">
              <w:rPr>
                <w:rFonts w:ascii="Arial" w:eastAsia="Calibri" w:hAnsi="Arial" w:cs="Arial"/>
                <w:lang w:eastAsia="en-US"/>
              </w:rPr>
              <w:t>.</w:t>
            </w:r>
          </w:p>
          <w:p w14:paraId="03EAAC1D" w14:textId="77777777" w:rsidR="00452880" w:rsidRPr="008E68BA" w:rsidRDefault="00452880" w:rsidP="008E68BA">
            <w:pPr>
              <w:pStyle w:val="ListParagraph"/>
              <w:numPr>
                <w:ilvl w:val="0"/>
                <w:numId w:val="34"/>
              </w:numPr>
              <w:ind w:right="170"/>
              <w:rPr>
                <w:rFonts w:ascii="Arial" w:eastAsia="Calibri" w:hAnsi="Arial" w:cs="Arial"/>
                <w:spacing w:val="-2"/>
                <w:lang w:eastAsia="en-US"/>
              </w:rPr>
            </w:pPr>
            <w:r w:rsidRPr="008E68BA">
              <w:rPr>
                <w:rFonts w:ascii="Arial" w:eastAsia="Calibri" w:hAnsi="Arial" w:cs="Arial"/>
                <w:spacing w:val="-2"/>
                <w:lang w:eastAsia="en-US"/>
              </w:rPr>
              <w:t xml:space="preserve">Number of Healthcare Associated SAB cases has been variable but within expected limits since August 2019. </w:t>
            </w:r>
            <w:r w:rsidRPr="008E68BA">
              <w:rPr>
                <w:rFonts w:ascii="Arial" w:eastAsia="Calibri" w:hAnsi="Arial" w:cs="Arial"/>
                <w:lang w:eastAsia="en-US"/>
              </w:rPr>
              <w:t>There had been an increase in March 2021 but this increase can still be considered to be natural variation.</w:t>
            </w:r>
          </w:p>
          <w:p w14:paraId="62CC623B" w14:textId="0CA0DB0B" w:rsidR="00452880" w:rsidRPr="008E68BA" w:rsidRDefault="00C24FA8" w:rsidP="008E68BA">
            <w:pPr>
              <w:pStyle w:val="ListParagraph"/>
              <w:numPr>
                <w:ilvl w:val="0"/>
                <w:numId w:val="34"/>
              </w:numPr>
              <w:ind w:right="170"/>
              <w:rPr>
                <w:rFonts w:ascii="Arial" w:eastAsia="Calibri" w:hAnsi="Arial" w:cs="Arial"/>
                <w:spacing w:val="-2"/>
                <w:lang w:eastAsia="en-US"/>
              </w:rPr>
            </w:pPr>
            <w:r w:rsidRPr="008E68BA">
              <w:rPr>
                <w:rFonts w:ascii="Arial" w:hAnsi="Arial" w:cs="Arial"/>
                <w:noProof/>
              </w:rPr>
              <w:t>SAB C</w:t>
            </w:r>
            <w:r w:rsidR="00452880" w:rsidRPr="008E68BA">
              <w:rPr>
                <w:rFonts w:ascii="Arial" w:hAnsi="Arial" w:cs="Arial"/>
                <w:noProof/>
              </w:rPr>
              <w:t>ommunity cases have shown a reduction since March 2021</w:t>
            </w:r>
            <w:r w:rsidRPr="008E68BA">
              <w:rPr>
                <w:rFonts w:ascii="Arial" w:hAnsi="Arial" w:cs="Arial"/>
                <w:noProof/>
              </w:rPr>
              <w:t xml:space="preserve"> but remain </w:t>
            </w:r>
            <w:r w:rsidR="00452880" w:rsidRPr="008E68BA">
              <w:rPr>
                <w:rFonts w:ascii="Arial" w:eastAsia="Calibri" w:hAnsi="Arial" w:cs="Arial"/>
                <w:lang w:eastAsia="en-US"/>
              </w:rPr>
              <w:t>stable and in control with minimal variation which indicates a stable system.</w:t>
            </w:r>
          </w:p>
          <w:p w14:paraId="53D0E8F8" w14:textId="05AFC65B" w:rsidR="00452880" w:rsidRPr="008E68BA" w:rsidRDefault="00452880" w:rsidP="008E68BA">
            <w:pPr>
              <w:pStyle w:val="ListParagraph"/>
              <w:numPr>
                <w:ilvl w:val="0"/>
                <w:numId w:val="34"/>
              </w:numPr>
              <w:ind w:right="170"/>
              <w:rPr>
                <w:rStyle w:val="IntenseEmphasis"/>
                <w:rFonts w:ascii="Arial" w:eastAsia="Calibri" w:hAnsi="Arial" w:cs="Arial"/>
                <w:b w:val="0"/>
                <w:bCs w:val="0"/>
                <w:i w:val="0"/>
                <w:iCs w:val="0"/>
                <w:color w:val="auto"/>
                <w:spacing w:val="-2"/>
                <w:lang w:eastAsia="en-US"/>
              </w:rPr>
            </w:pPr>
            <w:r w:rsidRPr="008E68BA">
              <w:rPr>
                <w:rStyle w:val="IntenseEmphasis"/>
                <w:rFonts w:ascii="Arial" w:eastAsia="Calibri" w:hAnsi="Arial" w:cs="Arial"/>
                <w:b w:val="0"/>
                <w:i w:val="0"/>
                <w:iCs w:val="0"/>
                <w:color w:val="auto"/>
                <w:lang w:eastAsia="en-US"/>
              </w:rPr>
              <w:t xml:space="preserve">Enhanced bacteraemia surveillance temporarily switched to light methodology as directed by </w:t>
            </w:r>
            <w:r w:rsidR="00C24FA8" w:rsidRPr="008E68BA">
              <w:rPr>
                <w:rStyle w:val="IntenseEmphasis"/>
                <w:rFonts w:ascii="Arial" w:eastAsia="Calibri" w:hAnsi="Arial" w:cs="Arial"/>
                <w:b w:val="0"/>
                <w:i w:val="0"/>
                <w:iCs w:val="0"/>
                <w:color w:val="auto"/>
                <w:lang w:eastAsia="en-US"/>
              </w:rPr>
              <w:t xml:space="preserve">the </w:t>
            </w:r>
            <w:r w:rsidRPr="008E68BA">
              <w:rPr>
                <w:rStyle w:val="IntenseEmphasis"/>
                <w:rFonts w:ascii="Arial" w:eastAsia="Calibri" w:hAnsi="Arial" w:cs="Arial"/>
                <w:b w:val="0"/>
                <w:i w:val="0"/>
                <w:iCs w:val="0"/>
                <w:color w:val="auto"/>
                <w:lang w:eastAsia="en-US"/>
              </w:rPr>
              <w:t>S</w:t>
            </w:r>
            <w:r w:rsidR="00C24FA8" w:rsidRPr="008E68BA">
              <w:rPr>
                <w:rStyle w:val="IntenseEmphasis"/>
                <w:rFonts w:ascii="Arial" w:eastAsia="Calibri" w:hAnsi="Arial" w:cs="Arial"/>
                <w:b w:val="0"/>
                <w:i w:val="0"/>
                <w:iCs w:val="0"/>
                <w:color w:val="auto"/>
                <w:lang w:eastAsia="en-US"/>
              </w:rPr>
              <w:t xml:space="preserve">cottish </w:t>
            </w:r>
            <w:r w:rsidRPr="008E68BA">
              <w:rPr>
                <w:rStyle w:val="IntenseEmphasis"/>
                <w:rFonts w:ascii="Arial" w:eastAsia="Calibri" w:hAnsi="Arial" w:cs="Arial"/>
                <w:b w:val="0"/>
                <w:i w:val="0"/>
                <w:iCs w:val="0"/>
                <w:color w:val="auto"/>
                <w:lang w:eastAsia="en-US"/>
              </w:rPr>
              <w:t>G</w:t>
            </w:r>
            <w:r w:rsidR="00C24FA8" w:rsidRPr="008E68BA">
              <w:rPr>
                <w:rStyle w:val="IntenseEmphasis"/>
                <w:rFonts w:ascii="Arial" w:eastAsia="Calibri" w:hAnsi="Arial" w:cs="Arial"/>
                <w:b w:val="0"/>
                <w:i w:val="0"/>
                <w:iCs w:val="0"/>
                <w:color w:val="auto"/>
                <w:lang w:eastAsia="en-US"/>
              </w:rPr>
              <w:t>overnment</w:t>
            </w:r>
            <w:r w:rsidRPr="008E68BA">
              <w:rPr>
                <w:rStyle w:val="IntenseEmphasis"/>
                <w:rFonts w:ascii="Arial" w:eastAsia="Calibri" w:hAnsi="Arial" w:cs="Arial"/>
                <w:b w:val="0"/>
                <w:i w:val="0"/>
                <w:iCs w:val="0"/>
                <w:color w:val="auto"/>
                <w:lang w:eastAsia="en-US"/>
              </w:rPr>
              <w:t xml:space="preserve"> </w:t>
            </w:r>
            <w:r w:rsidRPr="008E68BA">
              <w:rPr>
                <w:rStyle w:val="IntenseEmphasis"/>
                <w:rFonts w:ascii="Arial" w:eastAsia="Calibri" w:hAnsi="Arial" w:cs="Arial"/>
                <w:b w:val="0"/>
                <w:i w:val="0"/>
                <w:iCs w:val="0"/>
                <w:color w:val="auto"/>
                <w:spacing w:val="-4"/>
                <w:lang w:eastAsia="en-US"/>
              </w:rPr>
              <w:t>because of the acknowledged increased workload of IPCTs responding to the challenges of COVID-19.</w:t>
            </w:r>
            <w:r w:rsidRPr="008E68BA">
              <w:rPr>
                <w:rStyle w:val="IntenseEmphasis"/>
                <w:rFonts w:ascii="Arial" w:eastAsia="Calibri" w:hAnsi="Arial" w:cs="Arial"/>
                <w:b w:val="0"/>
                <w:i w:val="0"/>
                <w:iCs w:val="0"/>
                <w:color w:val="auto"/>
                <w:lang w:eastAsia="en-US"/>
              </w:rPr>
              <w:t xml:space="preserve">  </w:t>
            </w:r>
          </w:p>
          <w:p w14:paraId="6E533F42" w14:textId="2A4B529B" w:rsidR="00452880" w:rsidRPr="008E68BA" w:rsidRDefault="00452880" w:rsidP="008E68BA">
            <w:pPr>
              <w:pStyle w:val="ListParagraph"/>
              <w:numPr>
                <w:ilvl w:val="0"/>
                <w:numId w:val="34"/>
              </w:numPr>
              <w:ind w:right="170"/>
              <w:rPr>
                <w:rFonts w:ascii="Arial" w:eastAsia="Calibri" w:hAnsi="Arial" w:cs="Arial"/>
                <w:spacing w:val="-2"/>
                <w:lang w:eastAsia="en-US"/>
              </w:rPr>
            </w:pPr>
            <w:r w:rsidRPr="008E68BA">
              <w:rPr>
                <w:rFonts w:ascii="Arial" w:eastAsia="Calibri" w:hAnsi="Arial" w:cs="Arial"/>
                <w:spacing w:val="4"/>
                <w:lang w:eastAsia="en-US"/>
              </w:rPr>
              <w:t>In addition to the nationally set targets, infections from an IVAD caused</w:t>
            </w:r>
            <w:r w:rsidRPr="008E68BA">
              <w:rPr>
                <w:rFonts w:ascii="Arial" w:eastAsia="Calibri" w:hAnsi="Arial" w:cs="Arial"/>
                <w:lang w:eastAsia="en-US"/>
              </w:rPr>
              <w:t xml:space="preserve"> by </w:t>
            </w:r>
            <w:r w:rsidRPr="008E68BA">
              <w:rPr>
                <w:rFonts w:ascii="Arial" w:eastAsia="Calibri" w:hAnsi="Arial" w:cs="Arial"/>
                <w:i/>
                <w:lang w:eastAsia="en-US"/>
              </w:rPr>
              <w:t>S. aureus</w:t>
            </w:r>
            <w:r w:rsidRPr="008E68BA">
              <w:rPr>
                <w:rFonts w:ascii="Arial" w:eastAsia="Calibri" w:hAnsi="Arial" w:cs="Arial"/>
                <w:lang w:eastAsia="en-US"/>
              </w:rPr>
              <w:t xml:space="preserve"> are investigated fully and reported. </w:t>
            </w:r>
          </w:p>
          <w:p w14:paraId="4CDE3709" w14:textId="0633DB92" w:rsidR="00452880" w:rsidRPr="008E68BA" w:rsidRDefault="00C24FA8" w:rsidP="008E68BA">
            <w:pPr>
              <w:pStyle w:val="ListParagraph"/>
              <w:numPr>
                <w:ilvl w:val="0"/>
                <w:numId w:val="34"/>
              </w:numPr>
              <w:ind w:right="170"/>
              <w:rPr>
                <w:rFonts w:ascii="Arial" w:eastAsia="Calibri" w:hAnsi="Arial" w:cs="Arial"/>
                <w:spacing w:val="-2"/>
                <w:lang w:eastAsia="en-US"/>
              </w:rPr>
            </w:pPr>
            <w:r w:rsidRPr="008E68BA">
              <w:rPr>
                <w:rFonts w:ascii="Arial" w:eastAsia="Calibri" w:hAnsi="Arial" w:cs="Arial"/>
              </w:rPr>
              <w:lastRenderedPageBreak/>
              <w:t xml:space="preserve">There were </w:t>
            </w:r>
            <w:r w:rsidR="00452880" w:rsidRPr="008E68BA">
              <w:rPr>
                <w:rFonts w:ascii="Arial" w:eastAsia="Calibri" w:hAnsi="Arial" w:cs="Arial"/>
              </w:rPr>
              <w:t>6 hospital acquired cases</w:t>
            </w:r>
            <w:r w:rsidRPr="008E68BA">
              <w:rPr>
                <w:rFonts w:ascii="Arial" w:eastAsia="Calibri" w:hAnsi="Arial" w:cs="Arial"/>
              </w:rPr>
              <w:t xml:space="preserve"> in October 2021</w:t>
            </w:r>
            <w:r w:rsidR="00452880" w:rsidRPr="008E68BA">
              <w:rPr>
                <w:rFonts w:ascii="Arial" w:eastAsia="Calibri" w:hAnsi="Arial" w:cs="Arial"/>
                <w:lang w:eastAsia="en-US"/>
              </w:rPr>
              <w:t>.  Ward audits of device care plans are being undertaken by the IPCT and results fed back to nursing team at time of audit.  Common themes were the failure to complete the care plan and consequently the care bundle, however, this does not necessarily indicate that the actions to ensure these devices were managed well, were not in place, but that they were not documented fully.</w:t>
            </w:r>
          </w:p>
          <w:p w14:paraId="5371441F" w14:textId="04A0394D" w:rsidR="00B65C71" w:rsidRPr="008E68BA" w:rsidRDefault="00452880" w:rsidP="008E68BA">
            <w:pPr>
              <w:pStyle w:val="ListParagraph"/>
              <w:numPr>
                <w:ilvl w:val="0"/>
                <w:numId w:val="34"/>
              </w:numPr>
              <w:ind w:right="170"/>
              <w:rPr>
                <w:rFonts w:ascii="Arial" w:eastAsia="Calibri" w:hAnsi="Arial" w:cs="Arial"/>
                <w:spacing w:val="-2"/>
                <w:lang w:eastAsia="en-US"/>
              </w:rPr>
            </w:pPr>
            <w:r w:rsidRPr="008E68BA">
              <w:rPr>
                <w:rStyle w:val="IntenseEmphasis"/>
                <w:rFonts w:ascii="Arial" w:eastAsia="Calibri" w:hAnsi="Arial" w:cs="Arial"/>
                <w:b w:val="0"/>
                <w:i w:val="0"/>
                <w:iCs w:val="0"/>
                <w:color w:val="auto"/>
                <w:lang w:eastAsia="en-US"/>
              </w:rPr>
              <w:t xml:space="preserve">All Acute hospital cases are prospectively available on </w:t>
            </w:r>
            <w:proofErr w:type="spellStart"/>
            <w:r w:rsidRPr="008E68BA">
              <w:rPr>
                <w:rStyle w:val="IntenseEmphasis"/>
                <w:rFonts w:ascii="Arial" w:eastAsia="Calibri" w:hAnsi="Arial" w:cs="Arial"/>
                <w:b w:val="0"/>
                <w:i w:val="0"/>
                <w:iCs w:val="0"/>
                <w:color w:val="auto"/>
                <w:lang w:eastAsia="en-US"/>
              </w:rPr>
              <w:t>MicroStrategy</w:t>
            </w:r>
            <w:proofErr w:type="spellEnd"/>
            <w:r w:rsidRPr="008E68BA">
              <w:rPr>
                <w:rStyle w:val="IntenseEmphasis"/>
                <w:rFonts w:ascii="Arial" w:eastAsia="Calibri" w:hAnsi="Arial" w:cs="Arial"/>
                <w:b w:val="0"/>
                <w:i w:val="0"/>
                <w:iCs w:val="0"/>
                <w:color w:val="auto"/>
                <w:lang w:eastAsia="en-US"/>
              </w:rPr>
              <w:t xml:space="preserve"> IPC dashboard.</w:t>
            </w:r>
            <w:r w:rsidR="000D00B8" w:rsidRPr="008E68BA">
              <w:rPr>
                <w:rStyle w:val="IntenseEmphasis"/>
                <w:rFonts w:ascii="Arial" w:eastAsia="Calibri" w:hAnsi="Arial" w:cs="Arial"/>
                <w:b w:val="0"/>
                <w:i w:val="0"/>
                <w:iCs w:val="0"/>
                <w:color w:val="auto"/>
                <w:lang w:eastAsia="en-US"/>
              </w:rPr>
              <w:t xml:space="preserve"> Sector/Directorate reports are issued for action by Sector/Directorate teams.</w:t>
            </w:r>
          </w:p>
        </w:tc>
      </w:tr>
    </w:tbl>
    <w:p w14:paraId="5F1B7989" w14:textId="77777777" w:rsidR="007937FB" w:rsidRPr="008E68BA" w:rsidRDefault="007937FB" w:rsidP="008E68BA">
      <w:pPr>
        <w:rPr>
          <w:rStyle w:val="IntenseEmphasis"/>
          <w:rFonts w:ascii="Arial" w:eastAsia="Calibri" w:hAnsi="Arial" w:cs="Arial"/>
          <w:i w:val="0"/>
          <w:iCs w:val="0"/>
          <w:color w:val="auto"/>
          <w:lang w:eastAsia="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329"/>
      </w:tblGrid>
      <w:tr w:rsidR="00573F05" w:rsidRPr="008E68BA" w14:paraId="26BC8E68" w14:textId="77777777" w:rsidTr="006E302F">
        <w:tc>
          <w:tcPr>
            <w:tcW w:w="9493" w:type="dxa"/>
            <w:gridSpan w:val="2"/>
            <w:shd w:val="clear" w:color="auto" w:fill="D9D9D9" w:themeFill="background1" w:themeFillShade="D9"/>
          </w:tcPr>
          <w:p w14:paraId="3C1257BC" w14:textId="77777777" w:rsidR="00573F05" w:rsidRPr="008E68BA" w:rsidRDefault="00573F05" w:rsidP="008E68BA">
            <w:pPr>
              <w:spacing w:before="40" w:after="40"/>
              <w:rPr>
                <w:rStyle w:val="IntenseEmphasis"/>
                <w:rFonts w:ascii="Arial" w:eastAsia="Calibri" w:hAnsi="Arial" w:cs="Arial"/>
                <w:i w:val="0"/>
                <w:iCs w:val="0"/>
                <w:color w:val="auto"/>
                <w:lang w:eastAsia="en-US"/>
              </w:rPr>
            </w:pPr>
            <w:r w:rsidRPr="008E68BA">
              <w:rPr>
                <w:rStyle w:val="IntenseEmphasis"/>
                <w:rFonts w:ascii="Arial" w:hAnsi="Arial" w:cs="Arial"/>
                <w:color w:val="000000"/>
              </w:rPr>
              <w:t xml:space="preserve">E.coli </w:t>
            </w:r>
            <w:r w:rsidRPr="008E68BA">
              <w:rPr>
                <w:rStyle w:val="IntenseEmphasis"/>
                <w:rFonts w:ascii="Arial" w:hAnsi="Arial" w:cs="Arial"/>
                <w:i w:val="0"/>
                <w:color w:val="000000"/>
              </w:rPr>
              <w:t xml:space="preserve"> bacteraemia (ECB)</w:t>
            </w:r>
          </w:p>
        </w:tc>
      </w:tr>
      <w:tr w:rsidR="000440B9" w:rsidRPr="008E68BA" w14:paraId="5CABBA94" w14:textId="77777777" w:rsidTr="006E302F">
        <w:tc>
          <w:tcPr>
            <w:tcW w:w="5164" w:type="dxa"/>
          </w:tcPr>
          <w:tbl>
            <w:tblPr>
              <w:tblStyle w:val="TableGrid"/>
              <w:tblpPr w:leftFromText="181" w:rightFromText="181" w:vertAnchor="text" w:horzAnchor="margin" w:tblpY="157"/>
              <w:tblOverlap w:val="never"/>
              <w:tblW w:w="0" w:type="auto"/>
              <w:tblLook w:val="04A0" w:firstRow="1" w:lastRow="0" w:firstColumn="1" w:lastColumn="0" w:noHBand="0" w:noVBand="1"/>
            </w:tblPr>
            <w:tblGrid>
              <w:gridCol w:w="1471"/>
              <w:gridCol w:w="1108"/>
              <w:gridCol w:w="1134"/>
            </w:tblGrid>
            <w:tr w:rsidR="00206A99" w:rsidRPr="008E68BA" w14:paraId="29F69F06" w14:textId="77777777" w:rsidTr="005278D8">
              <w:trPr>
                <w:trHeight w:val="199"/>
              </w:trPr>
              <w:tc>
                <w:tcPr>
                  <w:tcW w:w="1297" w:type="dxa"/>
                </w:tcPr>
                <w:p w14:paraId="2AAFEDB8" w14:textId="77777777" w:rsidR="00206A99" w:rsidRPr="008E68BA" w:rsidRDefault="00206A99" w:rsidP="008E68BA">
                  <w:pPr>
                    <w:ind w:firstLine="221"/>
                    <w:rPr>
                      <w:rFonts w:ascii="Arial" w:hAnsi="Arial" w:cs="Arial"/>
                      <w:b/>
                    </w:rPr>
                  </w:pPr>
                </w:p>
              </w:tc>
              <w:tc>
                <w:tcPr>
                  <w:tcW w:w="1108" w:type="dxa"/>
                  <w:tcBorders>
                    <w:bottom w:val="single" w:sz="4" w:space="0" w:color="auto"/>
                  </w:tcBorders>
                  <w:shd w:val="clear" w:color="auto" w:fill="D5DCE4" w:themeFill="text2" w:themeFillTint="33"/>
                </w:tcPr>
                <w:p w14:paraId="3A3F7FB0" w14:textId="0921128C" w:rsidR="00206A99" w:rsidRPr="008E68BA" w:rsidRDefault="00206A99" w:rsidP="008E68BA">
                  <w:pPr>
                    <w:rPr>
                      <w:rFonts w:ascii="Arial" w:eastAsia="Calibri" w:hAnsi="Arial" w:cs="Arial"/>
                      <w:b/>
                      <w:color w:val="000000" w:themeColor="text1"/>
                      <w:lang w:eastAsia="en-US"/>
                    </w:rPr>
                  </w:pPr>
                  <w:r w:rsidRPr="008E68BA">
                    <w:rPr>
                      <w:rFonts w:ascii="Arial" w:eastAsia="Calibri" w:hAnsi="Arial" w:cs="Arial"/>
                      <w:b/>
                      <w:color w:val="000000" w:themeColor="text1"/>
                      <w:lang w:eastAsia="en-US"/>
                    </w:rPr>
                    <w:t>Sep 2021</w:t>
                  </w:r>
                </w:p>
              </w:tc>
              <w:tc>
                <w:tcPr>
                  <w:tcW w:w="1134" w:type="dxa"/>
                  <w:tcBorders>
                    <w:bottom w:val="single" w:sz="4" w:space="0" w:color="auto"/>
                  </w:tcBorders>
                  <w:shd w:val="clear" w:color="auto" w:fill="D5DCE4" w:themeFill="text2" w:themeFillTint="33"/>
                </w:tcPr>
                <w:p w14:paraId="31126698" w14:textId="77DB7EE3" w:rsidR="00206A99" w:rsidRPr="008E68BA" w:rsidRDefault="00206A99" w:rsidP="008E68BA">
                  <w:pPr>
                    <w:rPr>
                      <w:rFonts w:ascii="Arial" w:eastAsia="Calibri" w:hAnsi="Arial" w:cs="Arial"/>
                      <w:b/>
                      <w:color w:val="000000" w:themeColor="text1"/>
                      <w:lang w:eastAsia="en-US"/>
                    </w:rPr>
                  </w:pPr>
                  <w:r w:rsidRPr="008E68BA">
                    <w:rPr>
                      <w:rFonts w:ascii="Arial" w:eastAsia="Calibri" w:hAnsi="Arial" w:cs="Arial"/>
                      <w:b/>
                      <w:color w:val="000000" w:themeColor="text1"/>
                      <w:lang w:eastAsia="en-US"/>
                    </w:rPr>
                    <w:t>Oct 2021</w:t>
                  </w:r>
                </w:p>
              </w:tc>
            </w:tr>
            <w:tr w:rsidR="000440B9" w:rsidRPr="008E68BA" w14:paraId="6A1719D9" w14:textId="77777777" w:rsidTr="00573F05">
              <w:trPr>
                <w:trHeight w:val="199"/>
              </w:trPr>
              <w:tc>
                <w:tcPr>
                  <w:tcW w:w="1297" w:type="dxa"/>
                </w:tcPr>
                <w:p w14:paraId="753F7FCB" w14:textId="77777777" w:rsidR="000440B9" w:rsidRPr="008E68BA" w:rsidRDefault="000440B9" w:rsidP="008E68BA">
                  <w:pPr>
                    <w:rPr>
                      <w:rFonts w:ascii="Arial" w:hAnsi="Arial" w:cs="Arial"/>
                      <w:b/>
                    </w:rPr>
                  </w:pPr>
                  <w:r w:rsidRPr="008E68BA">
                    <w:rPr>
                      <w:rFonts w:ascii="Arial" w:hAnsi="Arial" w:cs="Arial"/>
                      <w:b/>
                    </w:rPr>
                    <w:t>Total</w:t>
                  </w:r>
                </w:p>
              </w:tc>
              <w:tc>
                <w:tcPr>
                  <w:tcW w:w="1108" w:type="dxa"/>
                  <w:tcBorders>
                    <w:bottom w:val="single" w:sz="4" w:space="0" w:color="auto"/>
                  </w:tcBorders>
                  <w:shd w:val="clear" w:color="auto" w:fill="auto"/>
                </w:tcPr>
                <w:p w14:paraId="20168E0D" w14:textId="604EE29E" w:rsidR="000440B9" w:rsidRPr="008E68BA" w:rsidRDefault="00C53C5C" w:rsidP="008E68BA">
                  <w:pPr>
                    <w:rPr>
                      <w:rFonts w:ascii="Arial" w:hAnsi="Arial" w:cs="Arial"/>
                      <w:b/>
                    </w:rPr>
                  </w:pPr>
                  <w:r w:rsidRPr="008E68BA">
                    <w:rPr>
                      <w:rFonts w:ascii="Arial" w:hAnsi="Arial" w:cs="Arial"/>
                      <w:b/>
                    </w:rPr>
                    <w:t>89</w:t>
                  </w:r>
                </w:p>
              </w:tc>
              <w:tc>
                <w:tcPr>
                  <w:tcW w:w="1134" w:type="dxa"/>
                  <w:tcBorders>
                    <w:bottom w:val="single" w:sz="4" w:space="0" w:color="auto"/>
                  </w:tcBorders>
                  <w:shd w:val="clear" w:color="auto" w:fill="auto"/>
                </w:tcPr>
                <w:p w14:paraId="1C545394" w14:textId="733965DB" w:rsidR="000440B9" w:rsidRPr="008E68BA" w:rsidRDefault="00C568CB" w:rsidP="008E68BA">
                  <w:pPr>
                    <w:tabs>
                      <w:tab w:val="left" w:pos="345"/>
                      <w:tab w:val="center" w:pos="459"/>
                    </w:tabs>
                    <w:rPr>
                      <w:rFonts w:ascii="Arial" w:hAnsi="Arial" w:cs="Arial"/>
                      <w:b/>
                    </w:rPr>
                  </w:pPr>
                  <w:r w:rsidRPr="008E68BA">
                    <w:rPr>
                      <w:rFonts w:ascii="Arial" w:hAnsi="Arial" w:cs="Arial"/>
                      <w:b/>
                    </w:rPr>
                    <w:t>81</w:t>
                  </w:r>
                </w:p>
              </w:tc>
            </w:tr>
            <w:tr w:rsidR="000440B9" w:rsidRPr="008E68BA" w14:paraId="0DD8AF08" w14:textId="77777777" w:rsidTr="000440B9">
              <w:trPr>
                <w:trHeight w:val="199"/>
              </w:trPr>
              <w:tc>
                <w:tcPr>
                  <w:tcW w:w="1297" w:type="dxa"/>
                </w:tcPr>
                <w:p w14:paraId="134785CF" w14:textId="77777777" w:rsidR="000440B9" w:rsidRPr="008E68BA" w:rsidRDefault="000440B9" w:rsidP="008E68BA">
                  <w:pPr>
                    <w:rPr>
                      <w:rFonts w:ascii="Arial" w:hAnsi="Arial" w:cs="Arial"/>
                    </w:rPr>
                  </w:pPr>
                  <w:r w:rsidRPr="008E68BA">
                    <w:rPr>
                      <w:rFonts w:ascii="Arial" w:hAnsi="Arial" w:cs="Arial"/>
                    </w:rPr>
                    <w:t xml:space="preserve">Hospital </w:t>
                  </w:r>
                  <w:r w:rsidR="00682493" w:rsidRPr="008E68BA">
                    <w:rPr>
                      <w:rFonts w:ascii="Arial" w:hAnsi="Arial" w:cs="Arial"/>
                    </w:rPr>
                    <w:t>*</w:t>
                  </w:r>
                </w:p>
              </w:tc>
              <w:tc>
                <w:tcPr>
                  <w:tcW w:w="1108" w:type="dxa"/>
                  <w:tcBorders>
                    <w:bottom w:val="single" w:sz="4" w:space="0" w:color="auto"/>
                  </w:tcBorders>
                  <w:shd w:val="clear" w:color="auto" w:fill="auto"/>
                </w:tcPr>
                <w:p w14:paraId="39E4FFDC" w14:textId="4D58A5BC" w:rsidR="000440B9" w:rsidRPr="008E68BA" w:rsidRDefault="00C53C5C" w:rsidP="008E68BA">
                  <w:pPr>
                    <w:rPr>
                      <w:rFonts w:ascii="Arial" w:hAnsi="Arial" w:cs="Arial"/>
                    </w:rPr>
                  </w:pPr>
                  <w:r w:rsidRPr="008E68BA">
                    <w:rPr>
                      <w:rFonts w:ascii="Arial" w:hAnsi="Arial" w:cs="Arial"/>
                    </w:rPr>
                    <w:t>26</w:t>
                  </w:r>
                </w:p>
              </w:tc>
              <w:tc>
                <w:tcPr>
                  <w:tcW w:w="1134" w:type="dxa"/>
                  <w:tcBorders>
                    <w:bottom w:val="single" w:sz="4" w:space="0" w:color="auto"/>
                  </w:tcBorders>
                </w:tcPr>
                <w:p w14:paraId="21387477" w14:textId="58A53B79" w:rsidR="000440B9" w:rsidRPr="008E68BA" w:rsidRDefault="00C568CB" w:rsidP="008E68BA">
                  <w:pPr>
                    <w:rPr>
                      <w:rFonts w:ascii="Arial" w:hAnsi="Arial" w:cs="Arial"/>
                    </w:rPr>
                  </w:pPr>
                  <w:r w:rsidRPr="008E68BA">
                    <w:rPr>
                      <w:rFonts w:ascii="Arial" w:hAnsi="Arial" w:cs="Arial"/>
                    </w:rPr>
                    <w:t>24</w:t>
                  </w:r>
                </w:p>
              </w:tc>
            </w:tr>
            <w:tr w:rsidR="000440B9" w:rsidRPr="008E68BA" w14:paraId="525035FB" w14:textId="77777777" w:rsidTr="000440B9">
              <w:trPr>
                <w:trHeight w:val="199"/>
              </w:trPr>
              <w:tc>
                <w:tcPr>
                  <w:tcW w:w="1297" w:type="dxa"/>
                </w:tcPr>
                <w:p w14:paraId="4CBF896B" w14:textId="77777777" w:rsidR="000440B9" w:rsidRPr="008E68BA" w:rsidRDefault="000440B9" w:rsidP="008E68BA">
                  <w:pPr>
                    <w:rPr>
                      <w:rFonts w:ascii="Arial" w:hAnsi="Arial" w:cs="Arial"/>
                    </w:rPr>
                  </w:pPr>
                  <w:r w:rsidRPr="008E68BA">
                    <w:rPr>
                      <w:rFonts w:ascii="Arial" w:hAnsi="Arial" w:cs="Arial"/>
                    </w:rPr>
                    <w:t>Healthcare</w:t>
                  </w:r>
                  <w:r w:rsidR="00682493" w:rsidRPr="008E68BA">
                    <w:rPr>
                      <w:rFonts w:ascii="Arial" w:hAnsi="Arial" w:cs="Arial"/>
                    </w:rPr>
                    <w:t>*</w:t>
                  </w:r>
                </w:p>
              </w:tc>
              <w:tc>
                <w:tcPr>
                  <w:tcW w:w="1108" w:type="dxa"/>
                  <w:tcBorders>
                    <w:bottom w:val="single" w:sz="4" w:space="0" w:color="auto"/>
                  </w:tcBorders>
                  <w:shd w:val="clear" w:color="auto" w:fill="auto"/>
                </w:tcPr>
                <w:p w14:paraId="6B079A98" w14:textId="5CDAEB12" w:rsidR="000440B9" w:rsidRPr="008E68BA" w:rsidRDefault="00C53C5C" w:rsidP="008E68BA">
                  <w:pPr>
                    <w:rPr>
                      <w:rFonts w:ascii="Arial" w:hAnsi="Arial" w:cs="Arial"/>
                    </w:rPr>
                  </w:pPr>
                  <w:r w:rsidRPr="008E68BA">
                    <w:rPr>
                      <w:rFonts w:ascii="Arial" w:hAnsi="Arial" w:cs="Arial"/>
                    </w:rPr>
                    <w:t>22</w:t>
                  </w:r>
                </w:p>
              </w:tc>
              <w:tc>
                <w:tcPr>
                  <w:tcW w:w="1134" w:type="dxa"/>
                  <w:tcBorders>
                    <w:bottom w:val="single" w:sz="4" w:space="0" w:color="auto"/>
                  </w:tcBorders>
                </w:tcPr>
                <w:p w14:paraId="1DC2B96C" w14:textId="55E78864" w:rsidR="000440B9" w:rsidRPr="008E68BA" w:rsidRDefault="00C568CB" w:rsidP="008E68BA">
                  <w:pPr>
                    <w:rPr>
                      <w:rFonts w:ascii="Arial" w:hAnsi="Arial" w:cs="Arial"/>
                    </w:rPr>
                  </w:pPr>
                  <w:r w:rsidRPr="008E68BA">
                    <w:rPr>
                      <w:rFonts w:ascii="Arial" w:hAnsi="Arial" w:cs="Arial"/>
                    </w:rPr>
                    <w:t>21</w:t>
                  </w:r>
                </w:p>
              </w:tc>
            </w:tr>
            <w:tr w:rsidR="000440B9" w:rsidRPr="008E68BA" w14:paraId="64D5C55B" w14:textId="77777777" w:rsidTr="00573F05">
              <w:trPr>
                <w:trHeight w:val="199"/>
              </w:trPr>
              <w:tc>
                <w:tcPr>
                  <w:tcW w:w="1297" w:type="dxa"/>
                </w:tcPr>
                <w:p w14:paraId="6A33BE8A" w14:textId="77777777" w:rsidR="000440B9" w:rsidRPr="008E68BA" w:rsidRDefault="000440B9" w:rsidP="008E68BA">
                  <w:pPr>
                    <w:rPr>
                      <w:rFonts w:ascii="Arial" w:hAnsi="Arial" w:cs="Arial"/>
                    </w:rPr>
                  </w:pPr>
                  <w:r w:rsidRPr="008E68BA">
                    <w:rPr>
                      <w:rFonts w:ascii="Arial" w:hAnsi="Arial" w:cs="Arial"/>
                    </w:rPr>
                    <w:t>Community</w:t>
                  </w:r>
                </w:p>
              </w:tc>
              <w:tc>
                <w:tcPr>
                  <w:tcW w:w="1108" w:type="dxa"/>
                  <w:shd w:val="clear" w:color="auto" w:fill="auto"/>
                </w:tcPr>
                <w:p w14:paraId="5E21A499" w14:textId="55790035" w:rsidR="000440B9" w:rsidRPr="008E68BA" w:rsidRDefault="00C53C5C" w:rsidP="008E68BA">
                  <w:pPr>
                    <w:rPr>
                      <w:rFonts w:ascii="Arial" w:hAnsi="Arial" w:cs="Arial"/>
                    </w:rPr>
                  </w:pPr>
                  <w:r w:rsidRPr="008E68BA">
                    <w:rPr>
                      <w:rFonts w:ascii="Arial" w:hAnsi="Arial" w:cs="Arial"/>
                    </w:rPr>
                    <w:t>41</w:t>
                  </w:r>
                </w:p>
              </w:tc>
              <w:tc>
                <w:tcPr>
                  <w:tcW w:w="1134" w:type="dxa"/>
                  <w:shd w:val="clear" w:color="auto" w:fill="auto"/>
                </w:tcPr>
                <w:p w14:paraId="4BB47412" w14:textId="2E6852B3" w:rsidR="000440B9" w:rsidRPr="008E68BA" w:rsidRDefault="00C568CB" w:rsidP="008E68BA">
                  <w:pPr>
                    <w:rPr>
                      <w:rFonts w:ascii="Arial" w:hAnsi="Arial" w:cs="Arial"/>
                    </w:rPr>
                  </w:pPr>
                  <w:r w:rsidRPr="008E68BA">
                    <w:rPr>
                      <w:rFonts w:ascii="Arial" w:hAnsi="Arial" w:cs="Arial"/>
                    </w:rPr>
                    <w:t>36</w:t>
                  </w:r>
                </w:p>
              </w:tc>
            </w:tr>
          </w:tbl>
          <w:p w14:paraId="4E7D9C37" w14:textId="521FA59C" w:rsidR="00BA31F8" w:rsidRPr="008E68BA" w:rsidRDefault="0020352E" w:rsidP="008E68BA">
            <w:pPr>
              <w:rPr>
                <w:rStyle w:val="IntenseEmphasis"/>
                <w:rFonts w:ascii="Arial" w:eastAsia="Calibri" w:hAnsi="Arial" w:cs="Arial"/>
                <w:i w:val="0"/>
                <w:iCs w:val="0"/>
                <w:color w:val="auto"/>
                <w:lang w:eastAsia="en-US"/>
              </w:rPr>
            </w:pPr>
            <w:r w:rsidRPr="008E68BA">
              <w:rPr>
                <w:rStyle w:val="IntenseEmphasis"/>
                <w:rFonts w:ascii="Arial" w:eastAsia="Calibri" w:hAnsi="Arial" w:cs="Arial"/>
                <w:i w:val="0"/>
                <w:iCs w:val="0"/>
                <w:color w:val="auto"/>
                <w:lang w:eastAsia="en-US"/>
              </w:rPr>
              <w:t xml:space="preserve"> </w:t>
            </w:r>
          </w:p>
          <w:p w14:paraId="11C2E650" w14:textId="77777777" w:rsidR="000D00B8" w:rsidRPr="008E68BA" w:rsidRDefault="000D00B8" w:rsidP="008E68BA">
            <w:pPr>
              <w:rPr>
                <w:rStyle w:val="IntenseEmphasis"/>
                <w:rFonts w:ascii="Arial" w:eastAsia="Calibri" w:hAnsi="Arial" w:cs="Arial"/>
                <w:i w:val="0"/>
                <w:iCs w:val="0"/>
                <w:color w:val="auto"/>
                <w:lang w:eastAsia="en-US"/>
              </w:rPr>
            </w:pPr>
          </w:p>
          <w:p w14:paraId="7D0A4C66" w14:textId="77777777" w:rsidR="000D00B8" w:rsidRPr="008E68BA" w:rsidRDefault="000D00B8" w:rsidP="008E68BA">
            <w:pPr>
              <w:rPr>
                <w:rStyle w:val="IntenseEmphasis"/>
                <w:rFonts w:ascii="Arial" w:eastAsia="Calibri" w:hAnsi="Arial" w:cs="Arial"/>
                <w:i w:val="0"/>
                <w:iCs w:val="0"/>
                <w:color w:val="auto"/>
                <w:lang w:eastAsia="en-US"/>
              </w:rPr>
            </w:pPr>
          </w:p>
          <w:p w14:paraId="0F21CDE2" w14:textId="77777777" w:rsidR="000D00B8" w:rsidRPr="008E68BA" w:rsidRDefault="000D00B8" w:rsidP="008E68BA">
            <w:pPr>
              <w:rPr>
                <w:rStyle w:val="IntenseEmphasis"/>
                <w:rFonts w:ascii="Arial" w:eastAsia="Calibri" w:hAnsi="Arial" w:cs="Arial"/>
                <w:i w:val="0"/>
                <w:iCs w:val="0"/>
                <w:color w:val="auto"/>
                <w:lang w:eastAsia="en-US"/>
              </w:rPr>
            </w:pPr>
          </w:p>
          <w:p w14:paraId="1EE40F13" w14:textId="77777777" w:rsidR="000D00B8" w:rsidRPr="008E68BA" w:rsidRDefault="000D00B8" w:rsidP="008E68BA">
            <w:pPr>
              <w:rPr>
                <w:rStyle w:val="IntenseEmphasis"/>
                <w:rFonts w:ascii="Arial" w:eastAsia="Calibri" w:hAnsi="Arial" w:cs="Arial"/>
                <w:i w:val="0"/>
                <w:iCs w:val="0"/>
                <w:color w:val="auto"/>
                <w:lang w:eastAsia="en-US"/>
              </w:rPr>
            </w:pPr>
          </w:p>
          <w:p w14:paraId="2E2319AE" w14:textId="77777777" w:rsidR="000D00B8" w:rsidRPr="008E68BA" w:rsidRDefault="000D00B8" w:rsidP="008E68BA">
            <w:pPr>
              <w:rPr>
                <w:rStyle w:val="IntenseEmphasis"/>
                <w:rFonts w:ascii="Arial" w:eastAsia="Calibri" w:hAnsi="Arial" w:cs="Arial"/>
                <w:i w:val="0"/>
                <w:iCs w:val="0"/>
                <w:color w:val="auto"/>
                <w:lang w:eastAsia="en-US"/>
              </w:rPr>
            </w:pPr>
          </w:p>
          <w:p w14:paraId="232128AA" w14:textId="77777777" w:rsidR="0020352E" w:rsidRPr="008E68BA" w:rsidRDefault="00525820" w:rsidP="008E68BA">
            <w:pPr>
              <w:rPr>
                <w:rStyle w:val="IntenseEmphasis"/>
                <w:rFonts w:ascii="Arial" w:eastAsia="Calibri" w:hAnsi="Arial" w:cs="Arial"/>
                <w:i w:val="0"/>
                <w:iCs w:val="0"/>
                <w:color w:val="auto"/>
                <w:lang w:eastAsia="en-US"/>
              </w:rPr>
            </w:pPr>
            <w:r w:rsidRPr="008E68BA">
              <w:rPr>
                <w:rStyle w:val="IntenseEmphasis"/>
                <w:rFonts w:ascii="Arial" w:eastAsia="Calibri" w:hAnsi="Arial" w:cs="Arial"/>
                <w:i w:val="0"/>
                <w:iCs w:val="0"/>
                <w:color w:val="auto"/>
                <w:lang w:eastAsia="en-US"/>
              </w:rPr>
              <w:t>HCAI Aim for Hospital and Healthcare is 38.</w:t>
            </w:r>
          </w:p>
          <w:p w14:paraId="4A21D72D" w14:textId="77777777" w:rsidR="00BC103E" w:rsidRPr="008E68BA" w:rsidRDefault="00BC103E" w:rsidP="008E68BA">
            <w:pPr>
              <w:rPr>
                <w:rStyle w:val="IntenseEmphasis"/>
                <w:rFonts w:ascii="Arial" w:eastAsia="Calibri" w:hAnsi="Arial" w:cs="Arial"/>
                <w:i w:val="0"/>
                <w:iCs w:val="0"/>
                <w:color w:val="auto"/>
                <w:lang w:eastAsia="en-US"/>
              </w:rPr>
            </w:pPr>
          </w:p>
          <w:p w14:paraId="5F36776B" w14:textId="77777777" w:rsidR="00BC103E" w:rsidRPr="008E68BA" w:rsidRDefault="00BC103E" w:rsidP="008E68BA">
            <w:pPr>
              <w:rPr>
                <w:rStyle w:val="IntenseEmphasis"/>
                <w:rFonts w:ascii="Arial" w:eastAsia="Calibri" w:hAnsi="Arial" w:cs="Arial"/>
                <w:i w:val="0"/>
                <w:iCs w:val="0"/>
                <w:color w:val="auto"/>
                <w:lang w:eastAsia="en-US"/>
              </w:rPr>
            </w:pPr>
          </w:p>
        </w:tc>
        <w:tc>
          <w:tcPr>
            <w:tcW w:w="4329" w:type="dxa"/>
          </w:tcPr>
          <w:p w14:paraId="002EE2C2" w14:textId="77777777" w:rsidR="00206A99" w:rsidRPr="008E68BA" w:rsidRDefault="00206A99" w:rsidP="008E68BA">
            <w:pPr>
              <w:spacing w:before="120"/>
              <w:ind w:right="312"/>
              <w:rPr>
                <w:rFonts w:ascii="Arial" w:hAnsi="Arial" w:cs="Arial"/>
                <w:b/>
                <w:color w:val="000000" w:themeColor="text1"/>
              </w:rPr>
            </w:pPr>
            <w:r w:rsidRPr="008E68BA">
              <w:rPr>
                <w:rFonts w:ascii="Arial" w:hAnsi="Arial" w:cs="Arial"/>
                <w:b/>
                <w:color w:val="000000" w:themeColor="text1"/>
              </w:rPr>
              <w:t xml:space="preserve">Healthcare associated </w:t>
            </w:r>
            <w:r w:rsidRPr="008E68BA">
              <w:rPr>
                <w:rFonts w:ascii="Arial" w:hAnsi="Arial" w:cs="Arial"/>
                <w:b/>
                <w:i/>
                <w:color w:val="000000" w:themeColor="text1"/>
              </w:rPr>
              <w:t>E. coli</w:t>
            </w:r>
            <w:r w:rsidRPr="008E68BA">
              <w:rPr>
                <w:rFonts w:ascii="Arial" w:hAnsi="Arial" w:cs="Arial"/>
                <w:b/>
                <w:color w:val="000000" w:themeColor="text1"/>
              </w:rPr>
              <w:t xml:space="preserve"> bacteraemia  total: </w:t>
            </w:r>
          </w:p>
          <w:p w14:paraId="21BDDE15" w14:textId="004909CA" w:rsidR="00206A99" w:rsidRPr="008E68BA" w:rsidRDefault="00206A99" w:rsidP="008E68BA">
            <w:pPr>
              <w:ind w:right="312"/>
              <w:rPr>
                <w:rFonts w:ascii="Arial" w:hAnsi="Arial" w:cs="Arial"/>
                <w:b/>
                <w:color w:val="000000" w:themeColor="text1"/>
              </w:rPr>
            </w:pPr>
            <w:r w:rsidRPr="008E68BA">
              <w:rPr>
                <w:rFonts w:ascii="Arial" w:hAnsi="Arial" w:cs="Arial"/>
                <w:b/>
                <w:color w:val="000000" w:themeColor="text1"/>
              </w:rPr>
              <w:t>November 2020 to October 2021 =</w:t>
            </w:r>
            <w:r w:rsidR="00BA31F8" w:rsidRPr="008E68BA">
              <w:rPr>
                <w:rFonts w:ascii="Arial" w:hAnsi="Arial" w:cs="Arial"/>
                <w:b/>
                <w:color w:val="000000" w:themeColor="text1"/>
              </w:rPr>
              <w:t xml:space="preserve"> 567</w:t>
            </w:r>
            <w:r w:rsidRPr="008E68BA">
              <w:rPr>
                <w:rFonts w:ascii="Arial" w:hAnsi="Arial" w:cs="Arial"/>
                <w:b/>
                <w:color w:val="000000" w:themeColor="text1"/>
              </w:rPr>
              <w:t>.</w:t>
            </w:r>
          </w:p>
          <w:p w14:paraId="0BFD888D" w14:textId="77777777" w:rsidR="00206A99" w:rsidRPr="008E68BA" w:rsidRDefault="00206A99" w:rsidP="008E68BA">
            <w:pPr>
              <w:ind w:right="312"/>
              <w:rPr>
                <w:rFonts w:ascii="Arial" w:hAnsi="Arial" w:cs="Arial"/>
                <w:b/>
                <w:color w:val="C00000"/>
              </w:rPr>
            </w:pPr>
            <w:r w:rsidRPr="008E68BA">
              <w:rPr>
                <w:rFonts w:ascii="Arial" w:hAnsi="Arial" w:cs="Arial"/>
                <w:b/>
                <w:color w:val="000000" w:themeColor="text1"/>
              </w:rPr>
              <w:t>HCAI yearly aim is 452</w:t>
            </w:r>
            <w:r w:rsidRPr="008E68BA">
              <w:rPr>
                <w:rFonts w:ascii="Arial" w:hAnsi="Arial" w:cs="Arial"/>
                <w:b/>
              </w:rPr>
              <w:t>.</w:t>
            </w:r>
          </w:p>
          <w:p w14:paraId="186C3E93" w14:textId="77777777" w:rsidR="00206A99" w:rsidRPr="008E68BA" w:rsidRDefault="00206A99" w:rsidP="008E68BA">
            <w:pPr>
              <w:ind w:right="312"/>
              <w:rPr>
                <w:rFonts w:ascii="Arial" w:hAnsi="Arial" w:cs="Arial"/>
                <w:color w:val="C00000"/>
              </w:rPr>
            </w:pPr>
          </w:p>
          <w:p w14:paraId="0BA94D78" w14:textId="7C0571AD" w:rsidR="00206A99" w:rsidRPr="008E68BA" w:rsidRDefault="00206A99" w:rsidP="008E68BA">
            <w:pPr>
              <w:rPr>
                <w:rStyle w:val="IntenseEmphasis"/>
                <w:rFonts w:ascii="Arial" w:eastAsia="Calibri" w:hAnsi="Arial" w:cs="Arial"/>
                <w:i w:val="0"/>
                <w:iCs w:val="0"/>
                <w:color w:val="000000" w:themeColor="text1"/>
                <w:lang w:eastAsia="en-US"/>
              </w:rPr>
            </w:pPr>
            <w:r w:rsidRPr="008E68BA">
              <w:rPr>
                <w:rStyle w:val="IntenseEmphasis"/>
                <w:rFonts w:ascii="Arial" w:eastAsia="Calibri" w:hAnsi="Arial" w:cs="Arial"/>
                <w:i w:val="0"/>
                <w:iCs w:val="0"/>
                <w:color w:val="000000" w:themeColor="text1"/>
                <w:lang w:eastAsia="en-US"/>
              </w:rPr>
              <w:t>*Hospital and Healthcare are the cases included in the SG reduction target (n=</w:t>
            </w:r>
            <w:r w:rsidR="00C53C5C" w:rsidRPr="008E68BA">
              <w:rPr>
                <w:rStyle w:val="IntenseEmphasis"/>
                <w:rFonts w:ascii="Arial" w:eastAsia="Calibri" w:hAnsi="Arial" w:cs="Arial"/>
                <w:i w:val="0"/>
                <w:iCs w:val="0"/>
                <w:color w:val="000000" w:themeColor="text1"/>
                <w:lang w:eastAsia="en-US"/>
              </w:rPr>
              <w:t>48</w:t>
            </w:r>
            <w:r w:rsidRPr="008E68BA">
              <w:rPr>
                <w:rStyle w:val="IntenseEmphasis"/>
                <w:rFonts w:ascii="Arial" w:eastAsia="Calibri" w:hAnsi="Arial" w:cs="Arial"/>
                <w:i w:val="0"/>
                <w:iCs w:val="0"/>
                <w:color w:val="000000" w:themeColor="text1"/>
                <w:lang w:eastAsia="en-US"/>
              </w:rPr>
              <w:t>) in September and (n=</w:t>
            </w:r>
            <w:r w:rsidR="00C568CB" w:rsidRPr="008E68BA">
              <w:rPr>
                <w:rStyle w:val="IntenseEmphasis"/>
                <w:rFonts w:ascii="Arial" w:eastAsia="Calibri" w:hAnsi="Arial" w:cs="Arial"/>
                <w:i w:val="0"/>
                <w:iCs w:val="0"/>
                <w:color w:val="000000" w:themeColor="text1"/>
                <w:lang w:eastAsia="en-US"/>
              </w:rPr>
              <w:t>45</w:t>
            </w:r>
            <w:r w:rsidRPr="008E68BA">
              <w:rPr>
                <w:rStyle w:val="IntenseEmphasis"/>
                <w:rFonts w:ascii="Arial" w:eastAsia="Calibri" w:hAnsi="Arial" w:cs="Arial"/>
                <w:i w:val="0"/>
                <w:iCs w:val="0"/>
                <w:color w:val="000000" w:themeColor="text1"/>
                <w:lang w:eastAsia="en-US"/>
              </w:rPr>
              <w:t>) in October 2021.</w:t>
            </w:r>
          </w:p>
          <w:p w14:paraId="25B2EFF1" w14:textId="77777777" w:rsidR="000440B9" w:rsidRPr="008E68BA" w:rsidRDefault="000440B9" w:rsidP="008E68BA">
            <w:pPr>
              <w:rPr>
                <w:rStyle w:val="IntenseEmphasis"/>
                <w:rFonts w:ascii="Arial" w:eastAsia="Calibri" w:hAnsi="Arial" w:cs="Arial"/>
                <w:i w:val="0"/>
                <w:iCs w:val="0"/>
                <w:color w:val="auto"/>
                <w:lang w:eastAsia="en-US"/>
              </w:rPr>
            </w:pPr>
          </w:p>
        </w:tc>
      </w:tr>
      <w:tr w:rsidR="000440B9" w:rsidRPr="008E68BA" w14:paraId="572137AF" w14:textId="77777777" w:rsidTr="006E302F">
        <w:tc>
          <w:tcPr>
            <w:tcW w:w="9493" w:type="dxa"/>
            <w:gridSpan w:val="2"/>
            <w:tcBorders>
              <w:top w:val="nil"/>
              <w:bottom w:val="single" w:sz="4" w:space="0" w:color="auto"/>
            </w:tcBorders>
          </w:tcPr>
          <w:p w14:paraId="04605B3A" w14:textId="77777777" w:rsidR="0067589E" w:rsidRPr="008E68BA" w:rsidRDefault="000440B9" w:rsidP="008E68BA">
            <w:pPr>
              <w:spacing w:before="40" w:after="40"/>
              <w:rPr>
                <w:rFonts w:ascii="Arial" w:eastAsia="Calibri" w:hAnsi="Arial" w:cs="Arial"/>
                <w:lang w:eastAsia="en-US"/>
              </w:rPr>
            </w:pPr>
            <w:r w:rsidRPr="008E68BA">
              <w:rPr>
                <w:rFonts w:ascii="Arial" w:eastAsia="Calibri" w:hAnsi="Arial" w:cs="Arial"/>
                <w:b/>
                <w:lang w:eastAsia="en-US"/>
              </w:rPr>
              <w:t>Comment:</w:t>
            </w:r>
            <w:r w:rsidRPr="008E68BA">
              <w:rPr>
                <w:rFonts w:ascii="Arial" w:eastAsia="Calibri" w:hAnsi="Arial" w:cs="Arial"/>
                <w:lang w:eastAsia="en-US"/>
              </w:rPr>
              <w:t xml:space="preserve"> </w:t>
            </w:r>
          </w:p>
          <w:p w14:paraId="652A32A5" w14:textId="48E30390" w:rsidR="0067589E" w:rsidRPr="008E68BA" w:rsidRDefault="000440B9" w:rsidP="008E68BA">
            <w:pPr>
              <w:pStyle w:val="ListParagraph"/>
              <w:numPr>
                <w:ilvl w:val="0"/>
                <w:numId w:val="35"/>
              </w:numPr>
              <w:spacing w:before="40" w:after="40"/>
              <w:rPr>
                <w:rFonts w:ascii="Arial" w:eastAsia="Calibri" w:hAnsi="Arial" w:cs="Arial"/>
                <w:lang w:eastAsia="en-US"/>
              </w:rPr>
            </w:pPr>
            <w:r w:rsidRPr="008E68BA">
              <w:rPr>
                <w:rFonts w:ascii="Arial" w:eastAsia="Calibri" w:hAnsi="Arial" w:cs="Arial"/>
                <w:lang w:eastAsia="en-US"/>
              </w:rPr>
              <w:t xml:space="preserve">There is some variability in recent months </w:t>
            </w:r>
            <w:r w:rsidR="0067589E" w:rsidRPr="008E68BA">
              <w:rPr>
                <w:rFonts w:ascii="Arial" w:eastAsia="Calibri" w:hAnsi="Arial" w:cs="Arial"/>
                <w:lang w:eastAsia="en-US"/>
              </w:rPr>
              <w:t>in Healthcare Associated ECB cases (including HAI and HCAI),</w:t>
            </w:r>
            <w:r w:rsidR="000D00B8" w:rsidRPr="008E68BA">
              <w:rPr>
                <w:rFonts w:ascii="Arial" w:eastAsia="Calibri" w:hAnsi="Arial" w:cs="Arial"/>
                <w:lang w:eastAsia="en-US"/>
              </w:rPr>
              <w:t xml:space="preserve"> however,</w:t>
            </w:r>
            <w:r w:rsidR="0067589E" w:rsidRPr="008E68BA">
              <w:rPr>
                <w:rFonts w:ascii="Arial" w:eastAsia="Calibri" w:hAnsi="Arial" w:cs="Arial"/>
                <w:lang w:eastAsia="en-US"/>
              </w:rPr>
              <w:t xml:space="preserve"> </w:t>
            </w:r>
            <w:r w:rsidR="000D00B8" w:rsidRPr="008E68BA">
              <w:rPr>
                <w:rFonts w:ascii="Arial" w:eastAsia="Calibri" w:hAnsi="Arial" w:cs="Arial"/>
                <w:lang w:eastAsia="en-US"/>
              </w:rPr>
              <w:t>numbers are</w:t>
            </w:r>
            <w:r w:rsidR="003C2E9A" w:rsidRPr="008E68BA">
              <w:rPr>
                <w:rFonts w:ascii="Arial" w:eastAsia="Calibri" w:hAnsi="Arial" w:cs="Arial"/>
                <w:lang w:eastAsia="en-US"/>
              </w:rPr>
              <w:t xml:space="preserve"> currently stable and in control with minimal variation which indicates a stable system.</w:t>
            </w:r>
          </w:p>
          <w:p w14:paraId="4CD8F4EB" w14:textId="77777777" w:rsidR="0067589E" w:rsidRPr="008E68BA" w:rsidRDefault="0067589E" w:rsidP="008E68BA">
            <w:pPr>
              <w:pStyle w:val="ListParagraph"/>
              <w:numPr>
                <w:ilvl w:val="0"/>
                <w:numId w:val="35"/>
              </w:numPr>
              <w:spacing w:before="40" w:after="40"/>
              <w:rPr>
                <w:rFonts w:ascii="Arial" w:eastAsia="Calibri" w:hAnsi="Arial" w:cs="Arial"/>
                <w:lang w:eastAsia="en-US"/>
              </w:rPr>
            </w:pPr>
            <w:r w:rsidRPr="008E68BA">
              <w:rPr>
                <w:rFonts w:ascii="Arial" w:eastAsia="Calibri" w:hAnsi="Arial" w:cs="Arial"/>
                <w:lang w:eastAsia="en-US"/>
              </w:rPr>
              <w:t>There remains some variability in monthly community onset cases.</w:t>
            </w:r>
          </w:p>
          <w:p w14:paraId="4A739F4E" w14:textId="77777777" w:rsidR="0067589E" w:rsidRPr="008E68BA" w:rsidRDefault="0067589E" w:rsidP="008E68BA">
            <w:pPr>
              <w:pStyle w:val="ListParagraph"/>
              <w:numPr>
                <w:ilvl w:val="0"/>
                <w:numId w:val="35"/>
              </w:numPr>
              <w:spacing w:before="40" w:after="40"/>
              <w:rPr>
                <w:rFonts w:ascii="Arial" w:eastAsia="Calibri" w:hAnsi="Arial" w:cs="Arial"/>
                <w:lang w:eastAsia="en-US"/>
              </w:rPr>
            </w:pPr>
            <w:r w:rsidRPr="008E68BA">
              <w:rPr>
                <w:rFonts w:ascii="Arial" w:hAnsi="Arial" w:cs="Arial"/>
              </w:rPr>
              <w:t xml:space="preserve">Urinary catheters remain a high risk factor for ECB, and were associated with </w:t>
            </w:r>
            <w:r w:rsidRPr="008E68BA">
              <w:rPr>
                <w:rFonts w:ascii="Arial" w:hAnsi="Arial" w:cs="Arial"/>
                <w:b/>
              </w:rPr>
              <w:t>17%</w:t>
            </w:r>
            <w:r w:rsidRPr="008E68BA">
              <w:rPr>
                <w:rFonts w:ascii="Arial" w:hAnsi="Arial" w:cs="Arial"/>
              </w:rPr>
              <w:t xml:space="preserve"> of all healthcare associated cases in the past two months.</w:t>
            </w:r>
          </w:p>
          <w:p w14:paraId="5C8A2823" w14:textId="77777777" w:rsidR="000D00B8" w:rsidRPr="008E68BA" w:rsidRDefault="000D00B8" w:rsidP="008E68BA">
            <w:pPr>
              <w:pStyle w:val="ListParagraph"/>
              <w:numPr>
                <w:ilvl w:val="0"/>
                <w:numId w:val="35"/>
              </w:numPr>
              <w:spacing w:before="40" w:after="40"/>
              <w:rPr>
                <w:rFonts w:ascii="Arial" w:eastAsia="Calibri" w:hAnsi="Arial" w:cs="Arial"/>
                <w:lang w:eastAsia="en-US"/>
              </w:rPr>
            </w:pPr>
            <w:r w:rsidRPr="008E68BA">
              <w:rPr>
                <w:rFonts w:ascii="Arial" w:hAnsi="Arial" w:cs="Arial"/>
              </w:rPr>
              <w:t>SPC charts for healthcare associated cases related to a urinary catheter are now included in each Acute Sector monthly report.</w:t>
            </w:r>
          </w:p>
          <w:p w14:paraId="23E9D481" w14:textId="77777777" w:rsidR="000D00B8" w:rsidRPr="008E68BA" w:rsidRDefault="000D00B8" w:rsidP="008E68BA">
            <w:pPr>
              <w:spacing w:before="40" w:after="40"/>
              <w:ind w:left="360"/>
              <w:rPr>
                <w:rFonts w:ascii="Arial" w:eastAsia="Calibri" w:hAnsi="Arial" w:cs="Arial"/>
                <w:lang w:eastAsia="en-US"/>
              </w:rPr>
            </w:pPr>
          </w:p>
          <w:p w14:paraId="14A5D70C" w14:textId="77777777" w:rsidR="0067589E" w:rsidRPr="008E68BA" w:rsidRDefault="0067589E" w:rsidP="008E68BA">
            <w:pPr>
              <w:pStyle w:val="ListParagraph"/>
              <w:numPr>
                <w:ilvl w:val="0"/>
                <w:numId w:val="35"/>
              </w:numPr>
              <w:spacing w:before="40" w:after="40"/>
              <w:rPr>
                <w:rFonts w:ascii="Arial" w:eastAsia="Calibri" w:hAnsi="Arial" w:cs="Arial"/>
                <w:lang w:eastAsia="en-US"/>
              </w:rPr>
            </w:pPr>
            <w:r w:rsidRPr="008E68BA">
              <w:rPr>
                <w:rFonts w:ascii="Arial" w:hAnsi="Arial" w:cs="Arial"/>
              </w:rPr>
              <w:t>The IPC Nurse Consultant is currently undertaking a review of measures to reduce avoidable harm in cases associated with invasive devices including urinary catheters.  Device associated infection is one of the work streams in the improvement collaborative and it is anticipated that this work will support local improvement plans to reduce infections due to urinary catheters.</w:t>
            </w:r>
          </w:p>
          <w:p w14:paraId="3E3ED97E" w14:textId="479766A8" w:rsidR="0050288D" w:rsidRPr="008E68BA" w:rsidRDefault="0067589E" w:rsidP="008E68BA">
            <w:pPr>
              <w:pStyle w:val="ListParagraph"/>
              <w:numPr>
                <w:ilvl w:val="0"/>
                <w:numId w:val="35"/>
              </w:numPr>
              <w:spacing w:before="40" w:after="40"/>
              <w:rPr>
                <w:rStyle w:val="IntenseEmphasis"/>
                <w:rFonts w:ascii="Arial" w:eastAsia="Calibri" w:hAnsi="Arial" w:cs="Arial"/>
                <w:b w:val="0"/>
                <w:bCs w:val="0"/>
                <w:i w:val="0"/>
                <w:iCs w:val="0"/>
                <w:color w:val="auto"/>
                <w:lang w:eastAsia="en-US"/>
              </w:rPr>
            </w:pPr>
            <w:r w:rsidRPr="008E68BA">
              <w:rPr>
                <w:rFonts w:ascii="Arial" w:hAnsi="Arial" w:cs="Arial"/>
              </w:rPr>
              <w:t xml:space="preserve">Ward level data of entry point of bacteraemia is also available via </w:t>
            </w:r>
            <w:proofErr w:type="spellStart"/>
            <w:r w:rsidRPr="008E68BA">
              <w:rPr>
                <w:rFonts w:ascii="Arial" w:hAnsi="Arial" w:cs="Arial"/>
              </w:rPr>
              <w:t>MicroStrategy</w:t>
            </w:r>
            <w:proofErr w:type="spellEnd"/>
            <w:r w:rsidRPr="008E68BA">
              <w:rPr>
                <w:rFonts w:ascii="Arial" w:hAnsi="Arial" w:cs="Arial"/>
              </w:rPr>
              <w:t>. This provides prospective information to Senior Charge Nurses to assist reduction of cases that may be amenable to improvement methodology.</w:t>
            </w:r>
          </w:p>
          <w:p w14:paraId="442EEC04" w14:textId="77777777" w:rsidR="00E17234" w:rsidRPr="008E68BA" w:rsidRDefault="00E17234" w:rsidP="008E68BA">
            <w:pPr>
              <w:spacing w:before="40" w:after="40"/>
              <w:rPr>
                <w:rStyle w:val="IntenseEmphasis"/>
                <w:rFonts w:ascii="Arial" w:eastAsia="Calibri" w:hAnsi="Arial" w:cs="Arial"/>
                <w:b w:val="0"/>
                <w:bCs w:val="0"/>
                <w:i w:val="0"/>
                <w:iCs w:val="0"/>
                <w:color w:val="auto"/>
                <w:lang w:eastAsia="en-US"/>
              </w:rPr>
            </w:pPr>
          </w:p>
        </w:tc>
      </w:tr>
    </w:tbl>
    <w:p w14:paraId="688853F2" w14:textId="77777777" w:rsidR="007A0D9F" w:rsidRPr="008E68BA" w:rsidRDefault="007A0D9F" w:rsidP="008E68BA">
      <w:pPr>
        <w:rPr>
          <w:rStyle w:val="IntenseEmphasis"/>
          <w:rFonts w:ascii="Arial" w:eastAsia="Calibri" w:hAnsi="Arial" w:cs="Arial"/>
          <w:b w:val="0"/>
          <w:i w:val="0"/>
          <w:iCs w:val="0"/>
          <w:color w:val="auto"/>
          <w:lang w:eastAsia="en-US"/>
        </w:rPr>
      </w:pPr>
    </w:p>
    <w:tbl>
      <w:tblPr>
        <w:tblStyle w:val="TableGrid"/>
        <w:tblW w:w="9634" w:type="dxa"/>
        <w:tblLayout w:type="fixed"/>
        <w:tblLook w:val="04A0" w:firstRow="1" w:lastRow="0" w:firstColumn="1" w:lastColumn="0" w:noHBand="0" w:noVBand="1"/>
      </w:tblPr>
      <w:tblGrid>
        <w:gridCol w:w="5098"/>
        <w:gridCol w:w="4536"/>
      </w:tblGrid>
      <w:tr w:rsidR="00E25CAF" w:rsidRPr="008E68BA" w14:paraId="1DA65C9A" w14:textId="77777777" w:rsidTr="006050B9">
        <w:tc>
          <w:tcPr>
            <w:tcW w:w="9634" w:type="dxa"/>
            <w:gridSpan w:val="2"/>
            <w:tcBorders>
              <w:bottom w:val="nil"/>
            </w:tcBorders>
          </w:tcPr>
          <w:p w14:paraId="08D2E4F6" w14:textId="67CB70C1" w:rsidR="00E25CAF" w:rsidRPr="008E68BA" w:rsidRDefault="00E25CAF" w:rsidP="008E68BA">
            <w:pPr>
              <w:ind w:right="170"/>
              <w:rPr>
                <w:rFonts w:ascii="Arial" w:hAnsi="Arial" w:cs="Arial"/>
                <w:b/>
                <w:color w:val="000000" w:themeColor="text1"/>
              </w:rPr>
            </w:pPr>
            <w:proofErr w:type="spellStart"/>
            <w:r w:rsidRPr="008E68BA">
              <w:rPr>
                <w:rFonts w:ascii="Arial" w:hAnsi="Arial" w:cs="Arial"/>
                <w:b/>
                <w:i/>
                <w:color w:val="000000" w:themeColor="text1"/>
              </w:rPr>
              <w:t>Clostridioides</w:t>
            </w:r>
            <w:proofErr w:type="spellEnd"/>
            <w:r w:rsidRPr="008E68BA">
              <w:rPr>
                <w:rFonts w:ascii="Arial" w:hAnsi="Arial" w:cs="Arial"/>
                <w:b/>
                <w:i/>
                <w:color w:val="000000" w:themeColor="text1"/>
              </w:rPr>
              <w:t xml:space="preserve"> difficile</w:t>
            </w:r>
            <w:r w:rsidRPr="008E68BA">
              <w:rPr>
                <w:rFonts w:ascii="Arial" w:hAnsi="Arial" w:cs="Arial"/>
                <w:b/>
                <w:color w:val="000000" w:themeColor="text1"/>
              </w:rPr>
              <w:t xml:space="preserve"> Infection (CDI)</w:t>
            </w:r>
          </w:p>
        </w:tc>
      </w:tr>
      <w:tr w:rsidR="00370180" w:rsidRPr="008E68BA" w14:paraId="1EE370D6" w14:textId="77777777" w:rsidTr="006050B9">
        <w:tc>
          <w:tcPr>
            <w:tcW w:w="5098" w:type="dxa"/>
            <w:tcBorders>
              <w:bottom w:val="nil"/>
            </w:tcBorders>
          </w:tcPr>
          <w:p w14:paraId="15BEE2C4" w14:textId="77777777" w:rsidR="00370180" w:rsidRPr="008E68BA" w:rsidRDefault="00370180" w:rsidP="008E68BA">
            <w:pPr>
              <w:rPr>
                <w:rStyle w:val="IntenseEmphasis"/>
                <w:rFonts w:ascii="Arial" w:eastAsia="Calibri" w:hAnsi="Arial" w:cs="Arial"/>
                <w:b w:val="0"/>
                <w:i w:val="0"/>
                <w:iCs w:val="0"/>
                <w:color w:val="auto"/>
                <w:lang w:eastAsia="en-US"/>
              </w:rPr>
            </w:pPr>
          </w:p>
        </w:tc>
        <w:tc>
          <w:tcPr>
            <w:tcW w:w="4536" w:type="dxa"/>
            <w:vMerge w:val="restart"/>
          </w:tcPr>
          <w:p w14:paraId="29A05441" w14:textId="40EC6ED1" w:rsidR="00FF0DD6" w:rsidRPr="008E68BA" w:rsidRDefault="00FF0DD6" w:rsidP="008E68BA">
            <w:pPr>
              <w:ind w:right="170"/>
              <w:rPr>
                <w:rFonts w:ascii="Arial" w:hAnsi="Arial" w:cs="Arial"/>
                <w:b/>
                <w:color w:val="000000" w:themeColor="text1"/>
              </w:rPr>
            </w:pPr>
            <w:r w:rsidRPr="008E68BA">
              <w:rPr>
                <w:rFonts w:ascii="Arial" w:hAnsi="Arial" w:cs="Arial"/>
                <w:b/>
                <w:color w:val="000000" w:themeColor="text1"/>
              </w:rPr>
              <w:t xml:space="preserve">Healthcare associated </w:t>
            </w:r>
            <w:proofErr w:type="spellStart"/>
            <w:r w:rsidRPr="008E68BA">
              <w:rPr>
                <w:rFonts w:ascii="Arial" w:hAnsi="Arial" w:cs="Arial"/>
                <w:b/>
                <w:i/>
                <w:color w:val="000000" w:themeColor="text1"/>
              </w:rPr>
              <w:t>Clostridioides</w:t>
            </w:r>
            <w:proofErr w:type="spellEnd"/>
            <w:r w:rsidRPr="008E68BA">
              <w:rPr>
                <w:rFonts w:ascii="Arial" w:hAnsi="Arial" w:cs="Arial"/>
                <w:b/>
                <w:i/>
                <w:color w:val="000000" w:themeColor="text1"/>
              </w:rPr>
              <w:t xml:space="preserve"> difficile</w:t>
            </w:r>
            <w:r w:rsidRPr="008E68BA">
              <w:rPr>
                <w:rFonts w:ascii="Arial" w:hAnsi="Arial" w:cs="Arial"/>
                <w:b/>
                <w:color w:val="000000" w:themeColor="text1"/>
              </w:rPr>
              <w:t xml:space="preserve"> total: November 2020 to October 2021 =</w:t>
            </w:r>
            <w:r w:rsidR="00165897" w:rsidRPr="008E68BA">
              <w:rPr>
                <w:rFonts w:ascii="Arial" w:hAnsi="Arial" w:cs="Arial"/>
                <w:b/>
                <w:color w:val="000000" w:themeColor="text1"/>
              </w:rPr>
              <w:t xml:space="preserve"> 222</w:t>
            </w:r>
            <w:r w:rsidRPr="008E68BA">
              <w:rPr>
                <w:rFonts w:ascii="Arial" w:hAnsi="Arial" w:cs="Arial"/>
                <w:b/>
                <w:color w:val="000000" w:themeColor="text1"/>
              </w:rPr>
              <w:t>.</w:t>
            </w:r>
          </w:p>
          <w:p w14:paraId="06CD0D98" w14:textId="77777777" w:rsidR="00FF0DD6" w:rsidRPr="008E68BA" w:rsidRDefault="00FF0DD6" w:rsidP="008E68BA">
            <w:pPr>
              <w:ind w:right="170"/>
              <w:rPr>
                <w:rFonts w:ascii="Arial" w:hAnsi="Arial" w:cs="Arial"/>
                <w:b/>
                <w:color w:val="000000" w:themeColor="text1"/>
              </w:rPr>
            </w:pPr>
            <w:r w:rsidRPr="008E68BA">
              <w:rPr>
                <w:rFonts w:ascii="Arial" w:hAnsi="Arial" w:cs="Arial"/>
                <w:b/>
                <w:color w:val="000000" w:themeColor="text1"/>
              </w:rPr>
              <w:t>HCAI yearly aim is 204.</w:t>
            </w:r>
          </w:p>
          <w:p w14:paraId="038F3ABE" w14:textId="77777777" w:rsidR="00FF0DD6" w:rsidRPr="008E68BA" w:rsidRDefault="00FF0DD6" w:rsidP="008E68BA">
            <w:pPr>
              <w:ind w:right="170"/>
              <w:rPr>
                <w:rFonts w:ascii="Arial" w:hAnsi="Arial" w:cs="Arial"/>
                <w:b/>
                <w:color w:val="C00000"/>
              </w:rPr>
            </w:pPr>
          </w:p>
          <w:p w14:paraId="0C7FD38D" w14:textId="0C5CB6B7" w:rsidR="00370180" w:rsidRPr="008E68BA" w:rsidRDefault="00FF0DD6" w:rsidP="008E68BA">
            <w:pPr>
              <w:rPr>
                <w:rStyle w:val="IntenseEmphasis"/>
                <w:rFonts w:ascii="Arial" w:hAnsi="Arial" w:cs="Arial"/>
                <w:bCs w:val="0"/>
                <w:i w:val="0"/>
                <w:iCs w:val="0"/>
                <w:color w:val="000000" w:themeColor="text1"/>
              </w:rPr>
            </w:pPr>
            <w:r w:rsidRPr="008E68BA">
              <w:rPr>
                <w:rFonts w:ascii="Arial" w:hAnsi="Arial" w:cs="Arial"/>
                <w:b/>
                <w:color w:val="000000" w:themeColor="text1"/>
              </w:rPr>
              <w:t xml:space="preserve">* Hospital, Healthcare and Indeterminate are the cases which </w:t>
            </w:r>
            <w:r w:rsidRPr="008E68BA">
              <w:rPr>
                <w:rFonts w:ascii="Arial" w:hAnsi="Arial" w:cs="Arial"/>
                <w:b/>
                <w:color w:val="000000" w:themeColor="text1"/>
              </w:rPr>
              <w:lastRenderedPageBreak/>
              <w:t>are included in the SG reduction target (n=</w:t>
            </w:r>
            <w:r w:rsidR="00C568CB" w:rsidRPr="008E68BA">
              <w:rPr>
                <w:rFonts w:ascii="Arial" w:hAnsi="Arial" w:cs="Arial"/>
                <w:b/>
                <w:color w:val="000000" w:themeColor="text1"/>
              </w:rPr>
              <w:t>24</w:t>
            </w:r>
            <w:r w:rsidRPr="008E68BA">
              <w:rPr>
                <w:rFonts w:ascii="Arial" w:hAnsi="Arial" w:cs="Arial"/>
                <w:b/>
                <w:color w:val="000000" w:themeColor="text1"/>
              </w:rPr>
              <w:t>) in September and (n=</w:t>
            </w:r>
            <w:r w:rsidR="00C568CB" w:rsidRPr="008E68BA">
              <w:rPr>
                <w:rFonts w:ascii="Arial" w:hAnsi="Arial" w:cs="Arial"/>
                <w:b/>
                <w:color w:val="000000" w:themeColor="text1"/>
              </w:rPr>
              <w:t>17</w:t>
            </w:r>
            <w:r w:rsidRPr="008E68BA">
              <w:rPr>
                <w:rFonts w:ascii="Arial" w:hAnsi="Arial" w:cs="Arial"/>
                <w:b/>
                <w:color w:val="000000" w:themeColor="text1"/>
              </w:rPr>
              <w:t>) in October 2021.</w:t>
            </w:r>
          </w:p>
        </w:tc>
      </w:tr>
      <w:tr w:rsidR="00370180" w:rsidRPr="008E68BA" w14:paraId="60F4BFD4" w14:textId="77777777" w:rsidTr="006050B9">
        <w:tc>
          <w:tcPr>
            <w:tcW w:w="5098" w:type="dxa"/>
            <w:tcBorders>
              <w:top w:val="nil"/>
              <w:bottom w:val="single" w:sz="4" w:space="0" w:color="000000"/>
            </w:tcBorders>
          </w:tcPr>
          <w:tbl>
            <w:tblPr>
              <w:tblStyle w:val="TableGrid"/>
              <w:tblpPr w:leftFromText="180" w:rightFromText="180" w:vertAnchor="text" w:horzAnchor="page" w:tblpXSpec="center" w:tblpY="-87"/>
              <w:tblOverlap w:val="never"/>
              <w:tblW w:w="0" w:type="auto"/>
              <w:tblLayout w:type="fixed"/>
              <w:tblLook w:val="04A0" w:firstRow="1" w:lastRow="0" w:firstColumn="1" w:lastColumn="0" w:noHBand="0" w:noVBand="1"/>
            </w:tblPr>
            <w:tblGrid>
              <w:gridCol w:w="1612"/>
              <w:gridCol w:w="1218"/>
              <w:gridCol w:w="1134"/>
            </w:tblGrid>
            <w:tr w:rsidR="00FF0DD6" w:rsidRPr="008E68BA" w14:paraId="35975455" w14:textId="77777777" w:rsidTr="005278D8">
              <w:trPr>
                <w:trHeight w:val="199"/>
              </w:trPr>
              <w:tc>
                <w:tcPr>
                  <w:tcW w:w="1612" w:type="dxa"/>
                </w:tcPr>
                <w:p w14:paraId="166C8674" w14:textId="77777777" w:rsidR="00FF0DD6" w:rsidRPr="008E68BA" w:rsidRDefault="00FF0DD6" w:rsidP="008E68BA">
                  <w:pPr>
                    <w:ind w:firstLine="221"/>
                    <w:rPr>
                      <w:rFonts w:ascii="Arial" w:hAnsi="Arial" w:cs="Arial"/>
                      <w:b/>
                    </w:rPr>
                  </w:pPr>
                </w:p>
              </w:tc>
              <w:tc>
                <w:tcPr>
                  <w:tcW w:w="1218" w:type="dxa"/>
                  <w:tcBorders>
                    <w:bottom w:val="single" w:sz="4" w:space="0" w:color="auto"/>
                  </w:tcBorders>
                  <w:shd w:val="clear" w:color="auto" w:fill="D5DCE4" w:themeFill="text2" w:themeFillTint="33"/>
                </w:tcPr>
                <w:p w14:paraId="5C6ED945" w14:textId="2A9D31EB" w:rsidR="00FF0DD6" w:rsidRPr="008E68BA" w:rsidRDefault="00FF0DD6" w:rsidP="008E68BA">
                  <w:pPr>
                    <w:rPr>
                      <w:rFonts w:ascii="Arial" w:eastAsia="Calibri" w:hAnsi="Arial" w:cs="Arial"/>
                      <w:b/>
                      <w:lang w:eastAsia="en-US"/>
                    </w:rPr>
                  </w:pPr>
                  <w:r w:rsidRPr="008E68BA">
                    <w:rPr>
                      <w:rFonts w:ascii="Arial" w:eastAsia="Calibri" w:hAnsi="Arial" w:cs="Arial"/>
                      <w:b/>
                      <w:color w:val="000000" w:themeColor="text1"/>
                      <w:lang w:eastAsia="en-US"/>
                    </w:rPr>
                    <w:t>Sep 2021</w:t>
                  </w:r>
                </w:p>
              </w:tc>
              <w:tc>
                <w:tcPr>
                  <w:tcW w:w="1134" w:type="dxa"/>
                  <w:tcBorders>
                    <w:bottom w:val="single" w:sz="4" w:space="0" w:color="auto"/>
                  </w:tcBorders>
                  <w:shd w:val="clear" w:color="auto" w:fill="D5DCE4" w:themeFill="text2" w:themeFillTint="33"/>
                </w:tcPr>
                <w:p w14:paraId="239210B2" w14:textId="2CCC9045" w:rsidR="00FF0DD6" w:rsidRPr="008E68BA" w:rsidRDefault="00FF0DD6" w:rsidP="008E68BA">
                  <w:pPr>
                    <w:rPr>
                      <w:rFonts w:ascii="Arial" w:eastAsia="Calibri" w:hAnsi="Arial" w:cs="Arial"/>
                      <w:b/>
                      <w:lang w:eastAsia="en-US"/>
                    </w:rPr>
                  </w:pPr>
                  <w:r w:rsidRPr="008E68BA">
                    <w:rPr>
                      <w:rFonts w:ascii="Arial" w:eastAsia="Calibri" w:hAnsi="Arial" w:cs="Arial"/>
                      <w:b/>
                      <w:color w:val="000000" w:themeColor="text1"/>
                      <w:lang w:eastAsia="en-US"/>
                    </w:rPr>
                    <w:t>Oct 2021</w:t>
                  </w:r>
                </w:p>
              </w:tc>
            </w:tr>
            <w:tr w:rsidR="00370180" w:rsidRPr="008E68BA" w14:paraId="2D176F51" w14:textId="77777777" w:rsidTr="005278D8">
              <w:trPr>
                <w:trHeight w:val="199"/>
              </w:trPr>
              <w:tc>
                <w:tcPr>
                  <w:tcW w:w="1612" w:type="dxa"/>
                </w:tcPr>
                <w:p w14:paraId="098B084A" w14:textId="77777777" w:rsidR="00370180" w:rsidRPr="008E68BA" w:rsidRDefault="00370180" w:rsidP="008E68BA">
                  <w:pPr>
                    <w:rPr>
                      <w:rFonts w:ascii="Arial" w:hAnsi="Arial" w:cs="Arial"/>
                      <w:b/>
                    </w:rPr>
                  </w:pPr>
                  <w:r w:rsidRPr="008E68BA">
                    <w:rPr>
                      <w:rFonts w:ascii="Arial" w:hAnsi="Arial" w:cs="Arial"/>
                      <w:b/>
                    </w:rPr>
                    <w:t>Total</w:t>
                  </w:r>
                </w:p>
              </w:tc>
              <w:tc>
                <w:tcPr>
                  <w:tcW w:w="1218" w:type="dxa"/>
                  <w:tcBorders>
                    <w:bottom w:val="single" w:sz="4" w:space="0" w:color="auto"/>
                  </w:tcBorders>
                  <w:shd w:val="clear" w:color="auto" w:fill="auto"/>
                </w:tcPr>
                <w:p w14:paraId="35C9B655" w14:textId="00A0D44E" w:rsidR="00370180" w:rsidRPr="008E68BA" w:rsidRDefault="007238FC" w:rsidP="008E68BA">
                  <w:pPr>
                    <w:rPr>
                      <w:rFonts w:ascii="Arial" w:hAnsi="Arial" w:cs="Arial"/>
                      <w:b/>
                    </w:rPr>
                  </w:pPr>
                  <w:r w:rsidRPr="008E68BA">
                    <w:rPr>
                      <w:rFonts w:ascii="Arial" w:hAnsi="Arial" w:cs="Arial"/>
                      <w:b/>
                    </w:rPr>
                    <w:t>35</w:t>
                  </w:r>
                </w:p>
              </w:tc>
              <w:tc>
                <w:tcPr>
                  <w:tcW w:w="1134" w:type="dxa"/>
                  <w:tcBorders>
                    <w:bottom w:val="single" w:sz="4" w:space="0" w:color="auto"/>
                  </w:tcBorders>
                  <w:shd w:val="clear" w:color="auto" w:fill="auto"/>
                </w:tcPr>
                <w:p w14:paraId="16649E3E" w14:textId="77E6E212" w:rsidR="00370180" w:rsidRPr="008E68BA" w:rsidRDefault="00C568CB" w:rsidP="008E68BA">
                  <w:pPr>
                    <w:rPr>
                      <w:rFonts w:ascii="Arial" w:hAnsi="Arial" w:cs="Arial"/>
                      <w:b/>
                    </w:rPr>
                  </w:pPr>
                  <w:r w:rsidRPr="008E68BA">
                    <w:rPr>
                      <w:rFonts w:ascii="Arial" w:hAnsi="Arial" w:cs="Arial"/>
                      <w:b/>
                    </w:rPr>
                    <w:t>25</w:t>
                  </w:r>
                </w:p>
              </w:tc>
            </w:tr>
            <w:tr w:rsidR="00370180" w:rsidRPr="008E68BA" w14:paraId="4287FB6B" w14:textId="77777777" w:rsidTr="005278D8">
              <w:trPr>
                <w:trHeight w:val="199"/>
              </w:trPr>
              <w:tc>
                <w:tcPr>
                  <w:tcW w:w="1612" w:type="dxa"/>
                </w:tcPr>
                <w:p w14:paraId="77163224" w14:textId="77777777" w:rsidR="00370180" w:rsidRPr="008E68BA" w:rsidRDefault="00370180" w:rsidP="008E68BA">
                  <w:pPr>
                    <w:rPr>
                      <w:rFonts w:ascii="Arial" w:hAnsi="Arial" w:cs="Arial"/>
                    </w:rPr>
                  </w:pPr>
                  <w:r w:rsidRPr="008E68BA">
                    <w:rPr>
                      <w:rFonts w:ascii="Arial" w:hAnsi="Arial" w:cs="Arial"/>
                    </w:rPr>
                    <w:t>Hospital *</w:t>
                  </w:r>
                </w:p>
              </w:tc>
              <w:tc>
                <w:tcPr>
                  <w:tcW w:w="1218" w:type="dxa"/>
                  <w:tcBorders>
                    <w:bottom w:val="single" w:sz="4" w:space="0" w:color="auto"/>
                  </w:tcBorders>
                  <w:shd w:val="clear" w:color="auto" w:fill="auto"/>
                </w:tcPr>
                <w:p w14:paraId="298E865E" w14:textId="7F3FC89D" w:rsidR="00370180" w:rsidRPr="008E68BA" w:rsidRDefault="007238FC" w:rsidP="008E68BA">
                  <w:pPr>
                    <w:rPr>
                      <w:rFonts w:ascii="Arial" w:hAnsi="Arial" w:cs="Arial"/>
                    </w:rPr>
                  </w:pPr>
                  <w:r w:rsidRPr="008E68BA">
                    <w:rPr>
                      <w:rFonts w:ascii="Arial" w:hAnsi="Arial" w:cs="Arial"/>
                    </w:rPr>
                    <w:t>15</w:t>
                  </w:r>
                </w:p>
              </w:tc>
              <w:tc>
                <w:tcPr>
                  <w:tcW w:w="1134" w:type="dxa"/>
                  <w:tcBorders>
                    <w:bottom w:val="single" w:sz="4" w:space="0" w:color="auto"/>
                  </w:tcBorders>
                </w:tcPr>
                <w:p w14:paraId="5BC57E37" w14:textId="6F7BBFDA" w:rsidR="00370180" w:rsidRPr="008E68BA" w:rsidRDefault="00C568CB" w:rsidP="008E68BA">
                  <w:pPr>
                    <w:rPr>
                      <w:rFonts w:ascii="Arial" w:hAnsi="Arial" w:cs="Arial"/>
                    </w:rPr>
                  </w:pPr>
                  <w:r w:rsidRPr="008E68BA">
                    <w:rPr>
                      <w:rFonts w:ascii="Arial" w:hAnsi="Arial" w:cs="Arial"/>
                    </w:rPr>
                    <w:t>9</w:t>
                  </w:r>
                </w:p>
              </w:tc>
            </w:tr>
            <w:tr w:rsidR="00370180" w:rsidRPr="008E68BA" w14:paraId="28EC33E6" w14:textId="77777777" w:rsidTr="005278D8">
              <w:trPr>
                <w:trHeight w:val="199"/>
              </w:trPr>
              <w:tc>
                <w:tcPr>
                  <w:tcW w:w="1612" w:type="dxa"/>
                </w:tcPr>
                <w:p w14:paraId="75C4FFE0" w14:textId="77777777" w:rsidR="00370180" w:rsidRPr="008E68BA" w:rsidRDefault="00370180" w:rsidP="008E68BA">
                  <w:pPr>
                    <w:rPr>
                      <w:rFonts w:ascii="Arial" w:hAnsi="Arial" w:cs="Arial"/>
                    </w:rPr>
                  </w:pPr>
                  <w:r w:rsidRPr="008E68BA">
                    <w:rPr>
                      <w:rFonts w:ascii="Arial" w:hAnsi="Arial" w:cs="Arial"/>
                    </w:rPr>
                    <w:t>Healthcare*</w:t>
                  </w:r>
                </w:p>
              </w:tc>
              <w:tc>
                <w:tcPr>
                  <w:tcW w:w="1218" w:type="dxa"/>
                  <w:tcBorders>
                    <w:bottom w:val="single" w:sz="4" w:space="0" w:color="auto"/>
                  </w:tcBorders>
                  <w:shd w:val="clear" w:color="auto" w:fill="auto"/>
                </w:tcPr>
                <w:p w14:paraId="21992392" w14:textId="4D002666" w:rsidR="00370180" w:rsidRPr="008E68BA" w:rsidRDefault="007238FC" w:rsidP="008E68BA">
                  <w:pPr>
                    <w:rPr>
                      <w:rFonts w:ascii="Arial" w:hAnsi="Arial" w:cs="Arial"/>
                    </w:rPr>
                  </w:pPr>
                  <w:r w:rsidRPr="008E68BA">
                    <w:rPr>
                      <w:rFonts w:ascii="Arial" w:hAnsi="Arial" w:cs="Arial"/>
                    </w:rPr>
                    <w:t>7</w:t>
                  </w:r>
                </w:p>
              </w:tc>
              <w:tc>
                <w:tcPr>
                  <w:tcW w:w="1134" w:type="dxa"/>
                  <w:tcBorders>
                    <w:bottom w:val="single" w:sz="4" w:space="0" w:color="auto"/>
                  </w:tcBorders>
                </w:tcPr>
                <w:p w14:paraId="0AF660CC" w14:textId="797BFD03" w:rsidR="00370180" w:rsidRPr="008E68BA" w:rsidRDefault="00C568CB" w:rsidP="008E68BA">
                  <w:pPr>
                    <w:rPr>
                      <w:rFonts w:ascii="Arial" w:hAnsi="Arial" w:cs="Arial"/>
                    </w:rPr>
                  </w:pPr>
                  <w:r w:rsidRPr="008E68BA">
                    <w:rPr>
                      <w:rFonts w:ascii="Arial" w:hAnsi="Arial" w:cs="Arial"/>
                    </w:rPr>
                    <w:t>6</w:t>
                  </w:r>
                </w:p>
              </w:tc>
            </w:tr>
            <w:tr w:rsidR="00370180" w:rsidRPr="008E68BA" w14:paraId="0BFF07A4" w14:textId="77777777" w:rsidTr="005278D8">
              <w:trPr>
                <w:trHeight w:val="199"/>
              </w:trPr>
              <w:tc>
                <w:tcPr>
                  <w:tcW w:w="1612" w:type="dxa"/>
                </w:tcPr>
                <w:p w14:paraId="088FC477" w14:textId="77777777" w:rsidR="00370180" w:rsidRPr="008E68BA" w:rsidRDefault="00370180" w:rsidP="008E68BA">
                  <w:pPr>
                    <w:rPr>
                      <w:rFonts w:ascii="Arial" w:hAnsi="Arial" w:cs="Arial"/>
                    </w:rPr>
                  </w:pPr>
                  <w:r w:rsidRPr="008E68BA">
                    <w:rPr>
                      <w:rFonts w:ascii="Arial" w:hAnsi="Arial" w:cs="Arial"/>
                    </w:rPr>
                    <w:t>Indeterminate*</w:t>
                  </w:r>
                </w:p>
              </w:tc>
              <w:tc>
                <w:tcPr>
                  <w:tcW w:w="1218" w:type="dxa"/>
                  <w:tcBorders>
                    <w:bottom w:val="single" w:sz="4" w:space="0" w:color="auto"/>
                  </w:tcBorders>
                  <w:shd w:val="clear" w:color="auto" w:fill="auto"/>
                </w:tcPr>
                <w:p w14:paraId="0E70CEC4" w14:textId="19CDEF19" w:rsidR="00370180" w:rsidRPr="008E68BA" w:rsidRDefault="007238FC" w:rsidP="008E68BA">
                  <w:pPr>
                    <w:rPr>
                      <w:rFonts w:ascii="Arial" w:hAnsi="Arial" w:cs="Arial"/>
                    </w:rPr>
                  </w:pPr>
                  <w:r w:rsidRPr="008E68BA">
                    <w:rPr>
                      <w:rFonts w:ascii="Arial" w:hAnsi="Arial" w:cs="Arial"/>
                    </w:rPr>
                    <w:t>2</w:t>
                  </w:r>
                </w:p>
              </w:tc>
              <w:tc>
                <w:tcPr>
                  <w:tcW w:w="1134" w:type="dxa"/>
                  <w:tcBorders>
                    <w:bottom w:val="single" w:sz="4" w:space="0" w:color="auto"/>
                  </w:tcBorders>
                </w:tcPr>
                <w:p w14:paraId="18B8FE43" w14:textId="24A64ECF" w:rsidR="00370180" w:rsidRPr="008E68BA" w:rsidRDefault="00C568CB" w:rsidP="008E68BA">
                  <w:pPr>
                    <w:rPr>
                      <w:rFonts w:ascii="Arial" w:hAnsi="Arial" w:cs="Arial"/>
                    </w:rPr>
                  </w:pPr>
                  <w:r w:rsidRPr="008E68BA">
                    <w:rPr>
                      <w:rFonts w:ascii="Arial" w:hAnsi="Arial" w:cs="Arial"/>
                    </w:rPr>
                    <w:t>2</w:t>
                  </w:r>
                </w:p>
              </w:tc>
            </w:tr>
            <w:tr w:rsidR="00370180" w:rsidRPr="008E68BA" w14:paraId="52BA6B38" w14:textId="77777777" w:rsidTr="005278D8">
              <w:trPr>
                <w:trHeight w:val="199"/>
              </w:trPr>
              <w:tc>
                <w:tcPr>
                  <w:tcW w:w="1612" w:type="dxa"/>
                </w:tcPr>
                <w:p w14:paraId="51D4D400" w14:textId="77777777" w:rsidR="00370180" w:rsidRPr="008E68BA" w:rsidRDefault="00370180" w:rsidP="008E68BA">
                  <w:pPr>
                    <w:rPr>
                      <w:rFonts w:ascii="Arial" w:hAnsi="Arial" w:cs="Arial"/>
                    </w:rPr>
                  </w:pPr>
                  <w:r w:rsidRPr="008E68BA">
                    <w:rPr>
                      <w:rFonts w:ascii="Arial" w:hAnsi="Arial" w:cs="Arial"/>
                    </w:rPr>
                    <w:lastRenderedPageBreak/>
                    <w:t>Community</w:t>
                  </w:r>
                </w:p>
              </w:tc>
              <w:tc>
                <w:tcPr>
                  <w:tcW w:w="1218" w:type="dxa"/>
                  <w:shd w:val="clear" w:color="auto" w:fill="auto"/>
                </w:tcPr>
                <w:p w14:paraId="6CD5F165" w14:textId="0C5A55F8" w:rsidR="00370180" w:rsidRPr="008E68BA" w:rsidRDefault="007238FC" w:rsidP="008E68BA">
                  <w:pPr>
                    <w:rPr>
                      <w:rFonts w:ascii="Arial" w:hAnsi="Arial" w:cs="Arial"/>
                    </w:rPr>
                  </w:pPr>
                  <w:r w:rsidRPr="008E68BA">
                    <w:rPr>
                      <w:rFonts w:ascii="Arial" w:hAnsi="Arial" w:cs="Arial"/>
                    </w:rPr>
                    <w:t>11</w:t>
                  </w:r>
                </w:p>
              </w:tc>
              <w:tc>
                <w:tcPr>
                  <w:tcW w:w="1134" w:type="dxa"/>
                  <w:shd w:val="clear" w:color="auto" w:fill="auto"/>
                </w:tcPr>
                <w:p w14:paraId="669A9105" w14:textId="1B2A1246" w:rsidR="00370180" w:rsidRPr="008E68BA" w:rsidRDefault="00C568CB" w:rsidP="008E68BA">
                  <w:pPr>
                    <w:rPr>
                      <w:rFonts w:ascii="Arial" w:hAnsi="Arial" w:cs="Arial"/>
                    </w:rPr>
                  </w:pPr>
                  <w:r w:rsidRPr="008E68BA">
                    <w:rPr>
                      <w:rFonts w:ascii="Arial" w:hAnsi="Arial" w:cs="Arial"/>
                    </w:rPr>
                    <w:t>8</w:t>
                  </w:r>
                </w:p>
              </w:tc>
            </w:tr>
          </w:tbl>
          <w:p w14:paraId="02B17DAD" w14:textId="77777777" w:rsidR="00E25CAF" w:rsidRPr="008E68BA" w:rsidRDefault="00E25CAF" w:rsidP="008E68BA">
            <w:pPr>
              <w:rPr>
                <w:rStyle w:val="IntenseEmphasis"/>
                <w:rFonts w:ascii="Arial" w:eastAsia="Calibri" w:hAnsi="Arial" w:cs="Arial"/>
                <w:b w:val="0"/>
                <w:i w:val="0"/>
                <w:iCs w:val="0"/>
                <w:color w:val="auto"/>
                <w:lang w:eastAsia="en-US"/>
              </w:rPr>
            </w:pPr>
          </w:p>
          <w:p w14:paraId="0056C614" w14:textId="6D49A403" w:rsidR="000F2FF5" w:rsidRPr="008E68BA" w:rsidRDefault="00525820" w:rsidP="008E68BA">
            <w:pPr>
              <w:rPr>
                <w:rStyle w:val="IntenseEmphasis"/>
                <w:rFonts w:ascii="Arial" w:eastAsia="Calibri" w:hAnsi="Arial" w:cs="Arial"/>
                <w:i w:val="0"/>
                <w:iCs w:val="0"/>
                <w:color w:val="auto"/>
                <w:lang w:eastAsia="en-US"/>
              </w:rPr>
            </w:pPr>
            <w:r w:rsidRPr="008E68BA">
              <w:rPr>
                <w:rStyle w:val="IntenseEmphasis"/>
                <w:rFonts w:ascii="Arial" w:eastAsia="Calibri" w:hAnsi="Arial" w:cs="Arial"/>
                <w:i w:val="0"/>
                <w:iCs w:val="0"/>
                <w:color w:val="auto"/>
                <w:lang w:eastAsia="en-US"/>
              </w:rPr>
              <w:t xml:space="preserve">HCAI </w:t>
            </w:r>
            <w:r w:rsidR="000D00B8" w:rsidRPr="008E68BA">
              <w:rPr>
                <w:rStyle w:val="IntenseEmphasis"/>
                <w:rFonts w:ascii="Arial" w:eastAsia="Calibri" w:hAnsi="Arial" w:cs="Arial"/>
                <w:i w:val="0"/>
                <w:iCs w:val="0"/>
                <w:color w:val="auto"/>
                <w:lang w:eastAsia="en-US"/>
              </w:rPr>
              <w:t>A</w:t>
            </w:r>
            <w:r w:rsidR="00E25CAF" w:rsidRPr="008E68BA">
              <w:rPr>
                <w:rStyle w:val="IntenseEmphasis"/>
                <w:rFonts w:ascii="Arial" w:eastAsia="Calibri" w:hAnsi="Arial" w:cs="Arial"/>
                <w:i w:val="0"/>
                <w:iCs w:val="0"/>
                <w:color w:val="auto"/>
                <w:lang w:eastAsia="en-US"/>
              </w:rPr>
              <w:t xml:space="preserve">im </w:t>
            </w:r>
            <w:r w:rsidRPr="008E68BA">
              <w:rPr>
                <w:rStyle w:val="IntenseEmphasis"/>
                <w:rFonts w:ascii="Arial" w:eastAsia="Calibri" w:hAnsi="Arial" w:cs="Arial"/>
                <w:i w:val="0"/>
                <w:iCs w:val="0"/>
                <w:color w:val="auto"/>
                <w:lang w:eastAsia="en-US"/>
              </w:rPr>
              <w:t>for Hospital and Healthcare and Indeterminate onset is 17.</w:t>
            </w:r>
          </w:p>
          <w:p w14:paraId="54B02D97" w14:textId="039B8555" w:rsidR="00E25CAF" w:rsidRPr="008E68BA" w:rsidRDefault="00E25CAF" w:rsidP="008E68BA">
            <w:pPr>
              <w:rPr>
                <w:rStyle w:val="IntenseEmphasis"/>
                <w:rFonts w:ascii="Arial" w:eastAsia="Calibri" w:hAnsi="Arial" w:cs="Arial"/>
                <w:b w:val="0"/>
                <w:i w:val="0"/>
                <w:iCs w:val="0"/>
                <w:color w:val="auto"/>
                <w:lang w:eastAsia="en-US"/>
              </w:rPr>
            </w:pPr>
          </w:p>
        </w:tc>
        <w:tc>
          <w:tcPr>
            <w:tcW w:w="4536" w:type="dxa"/>
            <w:vMerge/>
            <w:tcBorders>
              <w:bottom w:val="single" w:sz="4" w:space="0" w:color="000000"/>
            </w:tcBorders>
          </w:tcPr>
          <w:p w14:paraId="05D1E96D" w14:textId="77777777" w:rsidR="00370180" w:rsidRPr="008E68BA" w:rsidRDefault="00370180" w:rsidP="008E68BA">
            <w:pPr>
              <w:rPr>
                <w:rStyle w:val="IntenseEmphasis"/>
                <w:rFonts w:ascii="Arial" w:eastAsia="Calibri" w:hAnsi="Arial" w:cs="Arial"/>
                <w:b w:val="0"/>
                <w:i w:val="0"/>
                <w:iCs w:val="0"/>
                <w:color w:val="auto"/>
                <w:highlight w:val="yellow"/>
                <w:lang w:eastAsia="en-US"/>
              </w:rPr>
            </w:pPr>
          </w:p>
        </w:tc>
      </w:tr>
      <w:tr w:rsidR="00370180" w:rsidRPr="008E68BA" w14:paraId="7A2C956B" w14:textId="77777777" w:rsidTr="006050B9">
        <w:tc>
          <w:tcPr>
            <w:tcW w:w="9634" w:type="dxa"/>
            <w:gridSpan w:val="2"/>
            <w:tcBorders>
              <w:top w:val="nil"/>
              <w:bottom w:val="single" w:sz="4" w:space="0" w:color="000000"/>
            </w:tcBorders>
          </w:tcPr>
          <w:p w14:paraId="1BF9A996" w14:textId="77777777" w:rsidR="00E25CAF" w:rsidRPr="008E68BA" w:rsidRDefault="00370180" w:rsidP="008E68BA">
            <w:pPr>
              <w:ind w:right="176"/>
              <w:rPr>
                <w:rStyle w:val="IntenseEmphasis"/>
                <w:rFonts w:ascii="Arial" w:eastAsia="Calibri" w:hAnsi="Arial" w:cs="Arial"/>
                <w:i w:val="0"/>
                <w:iCs w:val="0"/>
                <w:color w:val="auto"/>
                <w:lang w:eastAsia="en-US"/>
              </w:rPr>
            </w:pPr>
            <w:r w:rsidRPr="008E68BA">
              <w:rPr>
                <w:rStyle w:val="IntenseEmphasis"/>
                <w:rFonts w:ascii="Arial" w:eastAsia="Calibri" w:hAnsi="Arial" w:cs="Arial"/>
                <w:i w:val="0"/>
                <w:iCs w:val="0"/>
                <w:color w:val="auto"/>
                <w:lang w:eastAsia="en-US"/>
              </w:rPr>
              <w:t xml:space="preserve">Comment: </w:t>
            </w:r>
          </w:p>
          <w:p w14:paraId="51DD6D3E" w14:textId="7463377A" w:rsidR="00713676" w:rsidRPr="008E68BA" w:rsidRDefault="00370180" w:rsidP="008E68BA">
            <w:pPr>
              <w:pStyle w:val="ListParagraph"/>
              <w:numPr>
                <w:ilvl w:val="0"/>
                <w:numId w:val="37"/>
              </w:numPr>
              <w:ind w:right="176"/>
              <w:rPr>
                <w:rStyle w:val="IntenseEmphasis"/>
                <w:rFonts w:ascii="Arial" w:eastAsia="Calibri" w:hAnsi="Arial" w:cs="Arial"/>
                <w:b w:val="0"/>
                <w:i w:val="0"/>
                <w:iCs w:val="0"/>
                <w:color w:val="auto"/>
                <w:lang w:eastAsia="en-US"/>
              </w:rPr>
            </w:pPr>
            <w:r w:rsidRPr="008E68BA">
              <w:rPr>
                <w:rStyle w:val="IntenseEmphasis"/>
                <w:rFonts w:ascii="Arial" w:eastAsia="Calibri" w:hAnsi="Arial" w:cs="Arial"/>
                <w:b w:val="0"/>
                <w:i w:val="0"/>
                <w:iCs w:val="0"/>
                <w:color w:val="auto"/>
                <w:lang w:eastAsia="en-US"/>
              </w:rPr>
              <w:t xml:space="preserve">There has been an increase in </w:t>
            </w:r>
            <w:r w:rsidR="00E25CAF" w:rsidRPr="008E68BA">
              <w:rPr>
                <w:rStyle w:val="IntenseEmphasis"/>
                <w:rFonts w:ascii="Arial" w:eastAsia="Calibri" w:hAnsi="Arial" w:cs="Arial"/>
                <w:b w:val="0"/>
                <w:i w:val="0"/>
                <w:iCs w:val="0"/>
                <w:color w:val="auto"/>
                <w:lang w:eastAsia="en-US"/>
              </w:rPr>
              <w:t xml:space="preserve">all </w:t>
            </w:r>
            <w:r w:rsidRPr="008E68BA">
              <w:rPr>
                <w:rStyle w:val="IntenseEmphasis"/>
                <w:rFonts w:ascii="Arial" w:eastAsia="Calibri" w:hAnsi="Arial" w:cs="Arial"/>
                <w:b w:val="0"/>
                <w:i w:val="0"/>
                <w:iCs w:val="0"/>
                <w:color w:val="auto"/>
                <w:lang w:eastAsia="en-US"/>
              </w:rPr>
              <w:t xml:space="preserve">monthly </w:t>
            </w:r>
            <w:r w:rsidR="00E25CAF" w:rsidRPr="008E68BA">
              <w:rPr>
                <w:rStyle w:val="IntenseEmphasis"/>
                <w:rFonts w:ascii="Arial" w:eastAsia="Calibri" w:hAnsi="Arial" w:cs="Arial"/>
                <w:b w:val="0"/>
                <w:i w:val="0"/>
                <w:iCs w:val="0"/>
                <w:color w:val="auto"/>
                <w:lang w:eastAsia="en-US"/>
              </w:rPr>
              <w:t xml:space="preserve">CDI </w:t>
            </w:r>
            <w:r w:rsidRPr="008E68BA">
              <w:rPr>
                <w:rStyle w:val="IntenseEmphasis"/>
                <w:rFonts w:ascii="Arial" w:eastAsia="Calibri" w:hAnsi="Arial" w:cs="Arial"/>
                <w:b w:val="0"/>
                <w:i w:val="0"/>
                <w:iCs w:val="0"/>
                <w:color w:val="auto"/>
                <w:lang w:eastAsia="en-US"/>
              </w:rPr>
              <w:t>case</w:t>
            </w:r>
            <w:r w:rsidR="000D00B8" w:rsidRPr="008E68BA">
              <w:rPr>
                <w:rStyle w:val="IntenseEmphasis"/>
                <w:rFonts w:ascii="Arial" w:eastAsia="Calibri" w:hAnsi="Arial" w:cs="Arial"/>
                <w:b w:val="0"/>
                <w:i w:val="0"/>
                <w:iCs w:val="0"/>
                <w:color w:val="auto"/>
                <w:lang w:eastAsia="en-US"/>
              </w:rPr>
              <w:t>s</w:t>
            </w:r>
            <w:r w:rsidRPr="008E68BA">
              <w:rPr>
                <w:rStyle w:val="IntenseEmphasis"/>
                <w:rFonts w:ascii="Arial" w:eastAsia="Calibri" w:hAnsi="Arial" w:cs="Arial"/>
                <w:b w:val="0"/>
                <w:i w:val="0"/>
                <w:iCs w:val="0"/>
                <w:color w:val="auto"/>
                <w:lang w:eastAsia="en-US"/>
              </w:rPr>
              <w:t xml:space="preserve"> since March 2021</w:t>
            </w:r>
            <w:r w:rsidR="005E763E" w:rsidRPr="008E68BA">
              <w:rPr>
                <w:rStyle w:val="IntenseEmphasis"/>
                <w:rFonts w:ascii="Arial" w:eastAsia="Calibri" w:hAnsi="Arial" w:cs="Arial"/>
                <w:b w:val="0"/>
                <w:i w:val="0"/>
                <w:iCs w:val="0"/>
                <w:color w:val="auto"/>
                <w:lang w:eastAsia="en-US"/>
              </w:rPr>
              <w:t xml:space="preserve">.  </w:t>
            </w:r>
            <w:r w:rsidR="00464064" w:rsidRPr="008E68BA">
              <w:rPr>
                <w:rStyle w:val="IntenseEmphasis"/>
                <w:rFonts w:ascii="Arial" w:eastAsia="Calibri" w:hAnsi="Arial" w:cs="Arial"/>
                <w:b w:val="0"/>
                <w:i w:val="0"/>
                <w:iCs w:val="0"/>
                <w:color w:val="auto"/>
                <w:lang w:eastAsia="en-US"/>
              </w:rPr>
              <w:t xml:space="preserve">There was a reduction in October cases and the </w:t>
            </w:r>
            <w:r w:rsidR="005E763E" w:rsidRPr="008E68BA">
              <w:rPr>
                <w:rStyle w:val="IntenseEmphasis"/>
                <w:rFonts w:ascii="Arial" w:eastAsia="Calibri" w:hAnsi="Arial" w:cs="Arial"/>
                <w:b w:val="0"/>
                <w:i w:val="0"/>
                <w:iCs w:val="0"/>
                <w:color w:val="auto"/>
                <w:lang w:eastAsia="en-US"/>
              </w:rPr>
              <w:t xml:space="preserve">IPCT </w:t>
            </w:r>
            <w:r w:rsidR="00464064" w:rsidRPr="008E68BA">
              <w:rPr>
                <w:rStyle w:val="IntenseEmphasis"/>
                <w:rFonts w:ascii="Arial" w:eastAsia="Calibri" w:hAnsi="Arial" w:cs="Arial"/>
                <w:b w:val="0"/>
                <w:i w:val="0"/>
                <w:iCs w:val="0"/>
                <w:color w:val="auto"/>
                <w:lang w:eastAsia="en-US"/>
              </w:rPr>
              <w:t xml:space="preserve">continue to </w:t>
            </w:r>
            <w:r w:rsidR="005E763E" w:rsidRPr="008E68BA">
              <w:rPr>
                <w:rStyle w:val="IntenseEmphasis"/>
                <w:rFonts w:ascii="Arial" w:eastAsia="Calibri" w:hAnsi="Arial" w:cs="Arial"/>
                <w:b w:val="0"/>
                <w:i w:val="0"/>
                <w:iCs w:val="0"/>
                <w:color w:val="auto"/>
                <w:lang w:eastAsia="en-US"/>
              </w:rPr>
              <w:t>closely monitor and action any areas with higher than expected numbers.  At this time there is no single area or site with increased numbers but it would appear to be an increase across all sites</w:t>
            </w:r>
            <w:r w:rsidR="004949A1" w:rsidRPr="008E68BA">
              <w:rPr>
                <w:rStyle w:val="IntenseEmphasis"/>
                <w:rFonts w:ascii="Arial" w:eastAsia="Calibri" w:hAnsi="Arial" w:cs="Arial"/>
                <w:b w:val="0"/>
                <w:i w:val="0"/>
                <w:iCs w:val="0"/>
                <w:color w:val="auto"/>
                <w:lang w:eastAsia="en-US"/>
              </w:rPr>
              <w:t>. This is being reported across NHS Scotland.</w:t>
            </w:r>
          </w:p>
          <w:p w14:paraId="60F0E207" w14:textId="3841B629" w:rsidR="00E25CAF" w:rsidRPr="008E68BA" w:rsidRDefault="00E25CAF" w:rsidP="008E68BA">
            <w:pPr>
              <w:pStyle w:val="ListParagraph"/>
              <w:numPr>
                <w:ilvl w:val="0"/>
                <w:numId w:val="37"/>
              </w:numPr>
              <w:ind w:right="176"/>
              <w:rPr>
                <w:rStyle w:val="IntenseEmphasis"/>
                <w:rFonts w:ascii="Arial" w:eastAsia="Calibri" w:hAnsi="Arial" w:cs="Arial"/>
                <w:b w:val="0"/>
                <w:i w:val="0"/>
                <w:iCs w:val="0"/>
                <w:color w:val="auto"/>
                <w:lang w:eastAsia="en-US"/>
              </w:rPr>
            </w:pPr>
            <w:r w:rsidRPr="008E68BA">
              <w:rPr>
                <w:rStyle w:val="IntenseEmphasis"/>
                <w:rFonts w:ascii="Arial" w:eastAsia="Calibri" w:hAnsi="Arial" w:cs="Arial"/>
                <w:b w:val="0"/>
                <w:i w:val="0"/>
                <w:iCs w:val="0"/>
                <w:color w:val="auto"/>
                <w:lang w:eastAsia="en-US"/>
              </w:rPr>
              <w:t>There had been an increase in HCAI cases since March</w:t>
            </w:r>
            <w:r w:rsidR="000D00B8" w:rsidRPr="008E68BA">
              <w:rPr>
                <w:rStyle w:val="IntenseEmphasis"/>
                <w:rFonts w:ascii="Arial" w:eastAsia="Calibri" w:hAnsi="Arial" w:cs="Arial"/>
                <w:b w:val="0"/>
                <w:i w:val="0"/>
                <w:iCs w:val="0"/>
                <w:color w:val="auto"/>
                <w:lang w:eastAsia="en-US"/>
              </w:rPr>
              <w:t xml:space="preserve"> 2021</w:t>
            </w:r>
            <w:r w:rsidRPr="008E68BA">
              <w:rPr>
                <w:rStyle w:val="IntenseEmphasis"/>
                <w:rFonts w:ascii="Arial" w:eastAsia="Calibri" w:hAnsi="Arial" w:cs="Arial"/>
                <w:b w:val="0"/>
                <w:i w:val="0"/>
                <w:iCs w:val="0"/>
                <w:color w:val="auto"/>
                <w:lang w:eastAsia="en-US"/>
              </w:rPr>
              <w:t>, however this decreased in October</w:t>
            </w:r>
            <w:r w:rsidR="000D00B8" w:rsidRPr="008E68BA">
              <w:rPr>
                <w:rStyle w:val="IntenseEmphasis"/>
                <w:rFonts w:ascii="Arial" w:eastAsia="Calibri" w:hAnsi="Arial" w:cs="Arial"/>
                <w:b w:val="0"/>
                <w:i w:val="0"/>
                <w:iCs w:val="0"/>
                <w:color w:val="auto"/>
                <w:lang w:eastAsia="en-US"/>
              </w:rPr>
              <w:t xml:space="preserve"> 2021</w:t>
            </w:r>
            <w:r w:rsidRPr="008E68BA">
              <w:rPr>
                <w:rStyle w:val="IntenseEmphasis"/>
                <w:rFonts w:ascii="Arial" w:eastAsia="Calibri" w:hAnsi="Arial" w:cs="Arial"/>
                <w:b w:val="0"/>
                <w:i w:val="0"/>
                <w:iCs w:val="0"/>
                <w:color w:val="auto"/>
                <w:lang w:eastAsia="en-US"/>
              </w:rPr>
              <w:t xml:space="preserve"> to 17 cases (HCAI standard aim).</w:t>
            </w:r>
          </w:p>
          <w:p w14:paraId="7E78C4A9" w14:textId="5BE7FF23" w:rsidR="00E25CAF" w:rsidRPr="008E68BA" w:rsidRDefault="00E25CAF" w:rsidP="008E68BA">
            <w:pPr>
              <w:pStyle w:val="ListParagraph"/>
              <w:numPr>
                <w:ilvl w:val="0"/>
                <w:numId w:val="36"/>
              </w:numPr>
              <w:ind w:right="176"/>
              <w:rPr>
                <w:rStyle w:val="IntenseEmphasis"/>
                <w:rFonts w:ascii="Arial" w:eastAsia="Calibri" w:hAnsi="Arial" w:cs="Arial"/>
                <w:b w:val="0"/>
                <w:i w:val="0"/>
                <w:iCs w:val="0"/>
                <w:color w:val="auto"/>
                <w:lang w:eastAsia="en-US"/>
              </w:rPr>
            </w:pPr>
            <w:r w:rsidRPr="008E68BA">
              <w:rPr>
                <w:rStyle w:val="IntenseEmphasis"/>
                <w:rFonts w:ascii="Arial" w:eastAsia="Calibri" w:hAnsi="Arial" w:cs="Arial"/>
                <w:b w:val="0"/>
                <w:i w:val="0"/>
                <w:iCs w:val="0"/>
                <w:color w:val="auto"/>
                <w:lang w:eastAsia="en-US"/>
              </w:rPr>
              <w:t xml:space="preserve">Community acquired </w:t>
            </w:r>
            <w:r w:rsidR="000D00B8" w:rsidRPr="008E68BA">
              <w:rPr>
                <w:rStyle w:val="IntenseEmphasis"/>
                <w:rFonts w:ascii="Arial" w:eastAsia="Calibri" w:hAnsi="Arial" w:cs="Arial"/>
                <w:b w:val="0"/>
                <w:i w:val="0"/>
                <w:iCs w:val="0"/>
                <w:color w:val="auto"/>
                <w:lang w:eastAsia="en-US"/>
              </w:rPr>
              <w:t xml:space="preserve">CDI </w:t>
            </w:r>
            <w:r w:rsidRPr="008E68BA">
              <w:rPr>
                <w:rStyle w:val="IntenseEmphasis"/>
                <w:rFonts w:ascii="Arial" w:eastAsia="Calibri" w:hAnsi="Arial" w:cs="Arial"/>
                <w:b w:val="0"/>
                <w:i w:val="0"/>
                <w:iCs w:val="0"/>
                <w:color w:val="auto"/>
                <w:lang w:eastAsia="en-US"/>
              </w:rPr>
              <w:t>cases have also had a slight increase in 2021 to date, but remain within c</w:t>
            </w:r>
            <w:r w:rsidR="000D00B8" w:rsidRPr="008E68BA">
              <w:rPr>
                <w:rStyle w:val="IntenseEmphasis"/>
                <w:rFonts w:ascii="Arial" w:eastAsia="Calibri" w:hAnsi="Arial" w:cs="Arial"/>
                <w:b w:val="0"/>
                <w:i w:val="0"/>
                <w:iCs w:val="0"/>
                <w:color w:val="auto"/>
                <w:lang w:eastAsia="en-US"/>
              </w:rPr>
              <w:t>ontrol</w:t>
            </w:r>
            <w:r w:rsidRPr="008E68BA">
              <w:rPr>
                <w:rStyle w:val="IntenseEmphasis"/>
                <w:rFonts w:ascii="Arial" w:eastAsia="Calibri" w:hAnsi="Arial" w:cs="Arial"/>
                <w:b w:val="0"/>
                <w:i w:val="0"/>
                <w:iCs w:val="0"/>
                <w:color w:val="auto"/>
                <w:lang w:eastAsia="en-US"/>
              </w:rPr>
              <w:t xml:space="preserve"> limits. </w:t>
            </w:r>
          </w:p>
          <w:p w14:paraId="410BBBB3" w14:textId="00DD8024" w:rsidR="000F2FF5" w:rsidRPr="008E68BA" w:rsidRDefault="000F2FF5" w:rsidP="008E68BA">
            <w:pPr>
              <w:ind w:right="176"/>
              <w:rPr>
                <w:rStyle w:val="IntenseEmphasis"/>
                <w:rFonts w:ascii="Arial" w:eastAsia="Calibri" w:hAnsi="Arial" w:cs="Arial"/>
                <w:b w:val="0"/>
                <w:i w:val="0"/>
                <w:iCs w:val="0"/>
                <w:color w:val="auto"/>
                <w:lang w:eastAsia="en-US"/>
              </w:rPr>
            </w:pPr>
          </w:p>
        </w:tc>
      </w:tr>
      <w:tr w:rsidR="00370180" w:rsidRPr="008E68BA" w14:paraId="696E613A" w14:textId="77777777" w:rsidTr="006050B9">
        <w:tc>
          <w:tcPr>
            <w:tcW w:w="9634" w:type="dxa"/>
            <w:gridSpan w:val="2"/>
            <w:tcBorders>
              <w:top w:val="nil"/>
            </w:tcBorders>
          </w:tcPr>
          <w:p w14:paraId="6E33D181" w14:textId="77777777" w:rsidR="000D00B8" w:rsidRPr="008E68BA" w:rsidRDefault="000D00B8" w:rsidP="008E68BA">
            <w:pPr>
              <w:ind w:right="176"/>
              <w:rPr>
                <w:rStyle w:val="IntenseEmphasis"/>
                <w:rFonts w:ascii="Arial" w:eastAsia="Calibri" w:hAnsi="Arial" w:cs="Arial"/>
                <w:b w:val="0"/>
                <w:i w:val="0"/>
                <w:iCs w:val="0"/>
                <w:color w:val="auto"/>
                <w:lang w:eastAsia="en-US"/>
              </w:rPr>
            </w:pPr>
            <w:r w:rsidRPr="008E68BA">
              <w:rPr>
                <w:rStyle w:val="IntenseEmphasis"/>
                <w:rFonts w:ascii="Arial" w:eastAsia="Calibri" w:hAnsi="Arial" w:cs="Arial"/>
                <w:b w:val="0"/>
                <w:i w:val="0"/>
                <w:iCs w:val="0"/>
                <w:color w:val="auto"/>
                <w:lang w:eastAsia="en-US"/>
              </w:rPr>
              <w:t xml:space="preserve">Please see below funnel plot analysis from ARHAI for Q2 of 2021 which places NHSGGC within the confidence intervals for healthcare associated infection cases. </w:t>
            </w:r>
          </w:p>
          <w:p w14:paraId="37BC9420" w14:textId="020C11EC" w:rsidR="000F2FF5" w:rsidRPr="008E68BA" w:rsidRDefault="000F2FF5" w:rsidP="008E68BA">
            <w:pPr>
              <w:ind w:left="29" w:right="176"/>
              <w:rPr>
                <w:rStyle w:val="IntenseEmphasis"/>
                <w:rFonts w:ascii="Arial" w:eastAsia="Calibri" w:hAnsi="Arial" w:cs="Arial"/>
                <w:i w:val="0"/>
                <w:iCs w:val="0"/>
                <w:color w:val="auto"/>
                <w:lang w:eastAsia="en-US"/>
              </w:rPr>
            </w:pPr>
          </w:p>
          <w:p w14:paraId="1977FE8E" w14:textId="4DEC8AB3" w:rsidR="000D00B8" w:rsidRPr="008E68BA" w:rsidRDefault="000D00B8" w:rsidP="008E68BA">
            <w:pPr>
              <w:ind w:left="29" w:right="176"/>
              <w:rPr>
                <w:rStyle w:val="IntenseEmphasis"/>
                <w:rFonts w:ascii="Arial" w:eastAsia="Calibri" w:hAnsi="Arial" w:cs="Arial"/>
                <w:i w:val="0"/>
                <w:iCs w:val="0"/>
                <w:color w:val="auto"/>
                <w:lang w:eastAsia="en-US"/>
              </w:rPr>
            </w:pPr>
            <w:r w:rsidRPr="008E68BA">
              <w:rPr>
                <w:rStyle w:val="Emphasis"/>
                <w:rFonts w:ascii="Arial" w:eastAsia="Calibri" w:hAnsi="Arial" w:cs="Arial"/>
                <w:b/>
                <w:i w:val="0"/>
                <w:iCs w:val="0"/>
                <w:noProof/>
              </w:rPr>
              <w:drawing>
                <wp:inline distT="0" distB="0" distL="0" distR="0" wp14:anchorId="0691CD26" wp14:editId="572BEEF4">
                  <wp:extent cx="5586095" cy="3087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5602" cy="3142366"/>
                          </a:xfrm>
                          <a:prstGeom prst="rect">
                            <a:avLst/>
                          </a:prstGeom>
                          <a:noFill/>
                          <a:ln>
                            <a:noFill/>
                          </a:ln>
                        </pic:spPr>
                      </pic:pic>
                    </a:graphicData>
                  </a:graphic>
                </wp:inline>
              </w:drawing>
            </w:r>
          </w:p>
          <w:p w14:paraId="623013A4" w14:textId="2E0478E8" w:rsidR="000F2FF5" w:rsidRPr="008E68BA" w:rsidRDefault="000F2FF5" w:rsidP="008E68BA">
            <w:pPr>
              <w:ind w:right="176"/>
              <w:rPr>
                <w:rStyle w:val="IntenseEmphasis"/>
                <w:rFonts w:ascii="Arial" w:eastAsia="Calibri" w:hAnsi="Arial" w:cs="Arial"/>
                <w:b w:val="0"/>
                <w:i w:val="0"/>
                <w:iCs w:val="0"/>
                <w:color w:val="auto"/>
                <w:lang w:eastAsia="en-US"/>
              </w:rPr>
            </w:pPr>
          </w:p>
        </w:tc>
      </w:tr>
      <w:tr w:rsidR="00CF29D1" w:rsidRPr="008E68BA" w14:paraId="623D38E4" w14:textId="77777777" w:rsidTr="006050B9">
        <w:tc>
          <w:tcPr>
            <w:tcW w:w="9634" w:type="dxa"/>
            <w:gridSpan w:val="2"/>
            <w:tcBorders>
              <w:top w:val="single" w:sz="4" w:space="0" w:color="auto"/>
            </w:tcBorders>
          </w:tcPr>
          <w:p w14:paraId="44A84E8D" w14:textId="10F5BEEC" w:rsidR="004E1D08" w:rsidRPr="008E68BA" w:rsidRDefault="00CF29D1" w:rsidP="008E68BA">
            <w:pPr>
              <w:ind w:right="175"/>
              <w:rPr>
                <w:rFonts w:ascii="Arial" w:hAnsi="Arial" w:cs="Arial"/>
              </w:rPr>
            </w:pPr>
            <w:r w:rsidRPr="008E68BA">
              <w:rPr>
                <w:rStyle w:val="IntenseEmphasis"/>
                <w:rFonts w:ascii="Arial" w:hAnsi="Arial" w:cs="Arial"/>
                <w:i w:val="0"/>
                <w:color w:val="auto"/>
              </w:rPr>
              <w:t xml:space="preserve">Action Taken: </w:t>
            </w:r>
            <w:r w:rsidR="004E1D08" w:rsidRPr="008E68BA">
              <w:rPr>
                <w:rStyle w:val="IntenseEmphasis"/>
                <w:rFonts w:ascii="Arial" w:hAnsi="Arial" w:cs="Arial"/>
                <w:b w:val="0"/>
                <w:i w:val="0"/>
                <w:color w:val="auto"/>
              </w:rPr>
              <w:t>CDI</w:t>
            </w:r>
            <w:r w:rsidR="004E1D08" w:rsidRPr="008E68BA">
              <w:rPr>
                <w:rStyle w:val="IntenseEmphasis"/>
                <w:rFonts w:ascii="Arial" w:hAnsi="Arial" w:cs="Arial"/>
                <w:i w:val="0"/>
                <w:color w:val="auto"/>
              </w:rPr>
              <w:t xml:space="preserve"> </w:t>
            </w:r>
            <w:r w:rsidRPr="008E68BA">
              <w:rPr>
                <w:rFonts w:ascii="Arial" w:hAnsi="Arial" w:cs="Arial"/>
              </w:rPr>
              <w:t xml:space="preserve">Cases in hospital: </w:t>
            </w:r>
          </w:p>
          <w:p w14:paraId="4734CA33" w14:textId="77777777" w:rsidR="004E1D08" w:rsidRPr="008E68BA" w:rsidRDefault="00CF29D1" w:rsidP="008E68BA">
            <w:pPr>
              <w:pStyle w:val="ListParagraph"/>
              <w:numPr>
                <w:ilvl w:val="0"/>
                <w:numId w:val="36"/>
              </w:numPr>
              <w:ind w:left="313" w:right="175" w:hanging="284"/>
              <w:rPr>
                <w:rFonts w:ascii="Arial" w:hAnsi="Arial" w:cs="Arial"/>
              </w:rPr>
            </w:pPr>
            <w:r w:rsidRPr="008E68BA">
              <w:rPr>
                <w:rFonts w:ascii="Arial" w:hAnsi="Arial" w:cs="Arial"/>
              </w:rPr>
              <w:t>All patients are reviewed by the IPCT and advice is given regarding antimicrobial prescribing, isolation and transmission based precautions.</w:t>
            </w:r>
          </w:p>
          <w:p w14:paraId="177F7D47" w14:textId="77777777" w:rsidR="004E1D08" w:rsidRPr="008E68BA" w:rsidRDefault="00FA0E52" w:rsidP="008E68BA">
            <w:pPr>
              <w:pStyle w:val="ListParagraph"/>
              <w:numPr>
                <w:ilvl w:val="0"/>
                <w:numId w:val="36"/>
              </w:numPr>
              <w:ind w:left="313" w:right="175" w:hanging="284"/>
              <w:rPr>
                <w:rFonts w:ascii="Arial" w:hAnsi="Arial" w:cs="Arial"/>
              </w:rPr>
            </w:pPr>
            <w:r w:rsidRPr="008E68BA">
              <w:rPr>
                <w:rFonts w:ascii="Arial" w:hAnsi="Arial" w:cs="Arial"/>
              </w:rPr>
              <w:t xml:space="preserve">The </w:t>
            </w:r>
            <w:r w:rsidR="00CF29D1" w:rsidRPr="008E68BA">
              <w:rPr>
                <w:rFonts w:ascii="Arial" w:hAnsi="Arial" w:cs="Arial"/>
              </w:rPr>
              <w:t>IPCNs visit patient</w:t>
            </w:r>
            <w:r w:rsidR="000E3795" w:rsidRPr="008E68BA">
              <w:rPr>
                <w:rFonts w:ascii="Arial" w:hAnsi="Arial" w:cs="Arial"/>
              </w:rPr>
              <w:t>s</w:t>
            </w:r>
            <w:r w:rsidR="00CF29D1" w:rsidRPr="008E68BA">
              <w:rPr>
                <w:rFonts w:ascii="Arial" w:hAnsi="Arial" w:cs="Arial"/>
              </w:rPr>
              <w:t xml:space="preserve"> and discuss the infection and what this means for them.</w:t>
            </w:r>
            <w:r w:rsidR="004E1D08" w:rsidRPr="008E68BA">
              <w:rPr>
                <w:rFonts w:ascii="Arial" w:hAnsi="Arial" w:cs="Arial"/>
              </w:rPr>
              <w:t xml:space="preserve"> </w:t>
            </w:r>
          </w:p>
          <w:p w14:paraId="7CD41572" w14:textId="46139B8E" w:rsidR="004E1D08" w:rsidRPr="008E68BA" w:rsidRDefault="00CF29D1" w:rsidP="008E68BA">
            <w:pPr>
              <w:pStyle w:val="ListParagraph"/>
              <w:numPr>
                <w:ilvl w:val="0"/>
                <w:numId w:val="36"/>
              </w:numPr>
              <w:ind w:left="313" w:right="175" w:hanging="284"/>
              <w:rPr>
                <w:rFonts w:ascii="Arial" w:hAnsi="Arial" w:cs="Arial"/>
              </w:rPr>
            </w:pPr>
            <w:r w:rsidRPr="008E68BA">
              <w:rPr>
                <w:rFonts w:ascii="Arial" w:hAnsi="Arial" w:cs="Arial"/>
              </w:rPr>
              <w:t xml:space="preserve">Any ward with </w:t>
            </w:r>
            <w:r w:rsidR="00FE7241" w:rsidRPr="008E68BA">
              <w:rPr>
                <w:rFonts w:ascii="Arial" w:hAnsi="Arial" w:cs="Arial"/>
              </w:rPr>
              <w:t>2</w:t>
            </w:r>
            <w:r w:rsidRPr="008E68BA">
              <w:rPr>
                <w:rFonts w:ascii="Arial" w:hAnsi="Arial" w:cs="Arial"/>
              </w:rPr>
              <w:t xml:space="preserve"> cases of HAI</w:t>
            </w:r>
            <w:r w:rsidR="004E1D08" w:rsidRPr="008E68BA">
              <w:rPr>
                <w:rFonts w:ascii="Arial" w:hAnsi="Arial" w:cs="Arial"/>
              </w:rPr>
              <w:t xml:space="preserve"> CDI</w:t>
            </w:r>
            <w:r w:rsidRPr="008E68BA">
              <w:rPr>
                <w:rFonts w:ascii="Arial" w:hAnsi="Arial" w:cs="Arial"/>
              </w:rPr>
              <w:t xml:space="preserve"> in two weeks is automatically visited daily and the SCN is assiste</w:t>
            </w:r>
            <w:r w:rsidR="00FA0E52" w:rsidRPr="008E68BA">
              <w:rPr>
                <w:rFonts w:ascii="Arial" w:hAnsi="Arial" w:cs="Arial"/>
              </w:rPr>
              <w:t>d with the completion of the ARHAI</w:t>
            </w:r>
            <w:r w:rsidRPr="008E68BA">
              <w:rPr>
                <w:rFonts w:ascii="Arial" w:hAnsi="Arial" w:cs="Arial"/>
              </w:rPr>
              <w:t xml:space="preserve"> Trigger Tool.  Any clusters (2) are sent to the Reference Lab for testing.</w:t>
            </w:r>
          </w:p>
          <w:p w14:paraId="15E1A25B" w14:textId="77777777" w:rsidR="004E1D08" w:rsidRPr="008E68BA" w:rsidRDefault="00CF29D1" w:rsidP="008E68BA">
            <w:pPr>
              <w:pStyle w:val="ListParagraph"/>
              <w:numPr>
                <w:ilvl w:val="0"/>
                <w:numId w:val="36"/>
              </w:numPr>
              <w:ind w:left="313" w:right="175" w:hanging="284"/>
              <w:rPr>
                <w:rFonts w:ascii="Arial" w:hAnsi="Arial" w:cs="Arial"/>
              </w:rPr>
            </w:pPr>
            <w:r w:rsidRPr="008E68BA">
              <w:rPr>
                <w:rFonts w:ascii="Arial" w:hAnsi="Arial" w:cs="Arial"/>
                <w:spacing w:val="-2"/>
              </w:rPr>
              <w:t xml:space="preserve">Each ward receives an updated CDI </w:t>
            </w:r>
            <w:r w:rsidR="00FE7241" w:rsidRPr="008E68BA">
              <w:rPr>
                <w:rFonts w:ascii="Arial" w:hAnsi="Arial" w:cs="Arial"/>
                <w:spacing w:val="-2"/>
              </w:rPr>
              <w:t xml:space="preserve">Statistical Process Control (SPC) chart </w:t>
            </w:r>
            <w:r w:rsidRPr="008E68BA">
              <w:rPr>
                <w:rFonts w:ascii="Arial" w:hAnsi="Arial" w:cs="Arial"/>
                <w:spacing w:val="-2"/>
              </w:rPr>
              <w:t>each month</w:t>
            </w:r>
            <w:r w:rsidR="005E763E" w:rsidRPr="008E68BA">
              <w:rPr>
                <w:rFonts w:ascii="Arial" w:hAnsi="Arial" w:cs="Arial"/>
                <w:spacing w:val="-2"/>
              </w:rPr>
              <w:t>, which means control limits are continually monitored and action take</w:t>
            </w:r>
            <w:r w:rsidR="00B46F5F" w:rsidRPr="008E68BA">
              <w:rPr>
                <w:rFonts w:ascii="Arial" w:hAnsi="Arial" w:cs="Arial"/>
                <w:spacing w:val="-2"/>
              </w:rPr>
              <w:t>n</w:t>
            </w:r>
            <w:r w:rsidR="005E763E" w:rsidRPr="008E68BA">
              <w:rPr>
                <w:rFonts w:ascii="Arial" w:hAnsi="Arial" w:cs="Arial"/>
                <w:spacing w:val="-2"/>
              </w:rPr>
              <w:t xml:space="preserve"> as required but it also demonstrates improvement where this has occurred</w:t>
            </w:r>
            <w:r w:rsidRPr="008E68BA">
              <w:rPr>
                <w:rFonts w:ascii="Arial" w:hAnsi="Arial" w:cs="Arial"/>
                <w:spacing w:val="-2"/>
              </w:rPr>
              <w:t>.</w:t>
            </w:r>
          </w:p>
          <w:p w14:paraId="7943803B" w14:textId="77777777" w:rsidR="00E17234" w:rsidRPr="008E68BA" w:rsidRDefault="00EC75D7" w:rsidP="008E68BA">
            <w:pPr>
              <w:pStyle w:val="ListParagraph"/>
              <w:numPr>
                <w:ilvl w:val="0"/>
                <w:numId w:val="36"/>
              </w:numPr>
              <w:ind w:left="313" w:right="175" w:hanging="284"/>
              <w:rPr>
                <w:rFonts w:ascii="Arial" w:hAnsi="Arial" w:cs="Arial"/>
              </w:rPr>
            </w:pPr>
            <w:r w:rsidRPr="008E68BA">
              <w:rPr>
                <w:rFonts w:ascii="Arial" w:hAnsi="Arial" w:cs="Arial"/>
                <w:spacing w:val="-2"/>
              </w:rPr>
              <w:t xml:space="preserve">Prospective ward level information on CDI cases is available on </w:t>
            </w:r>
            <w:proofErr w:type="spellStart"/>
            <w:r w:rsidRPr="008E68BA">
              <w:rPr>
                <w:rFonts w:ascii="Arial" w:hAnsi="Arial" w:cs="Arial"/>
                <w:spacing w:val="-2"/>
              </w:rPr>
              <w:t>MicroStrategy</w:t>
            </w:r>
            <w:proofErr w:type="spellEnd"/>
            <w:r w:rsidRPr="008E68BA">
              <w:rPr>
                <w:rFonts w:ascii="Arial" w:hAnsi="Arial" w:cs="Arial"/>
                <w:spacing w:val="-2"/>
              </w:rPr>
              <w:t xml:space="preserve"> for access by SCNs across our </w:t>
            </w:r>
            <w:proofErr w:type="gramStart"/>
            <w:r w:rsidRPr="008E68BA">
              <w:rPr>
                <w:rFonts w:ascii="Arial" w:hAnsi="Arial" w:cs="Arial"/>
                <w:spacing w:val="-2"/>
              </w:rPr>
              <w:t>Acute</w:t>
            </w:r>
            <w:proofErr w:type="gramEnd"/>
            <w:r w:rsidRPr="008E68BA">
              <w:rPr>
                <w:rFonts w:ascii="Arial" w:hAnsi="Arial" w:cs="Arial"/>
                <w:spacing w:val="-2"/>
              </w:rPr>
              <w:t xml:space="preserve"> sites.</w:t>
            </w:r>
          </w:p>
          <w:p w14:paraId="75F20F2D" w14:textId="0C1E4704" w:rsidR="004E1D08" w:rsidRPr="008E68BA" w:rsidRDefault="004E1D08" w:rsidP="008E68BA">
            <w:pPr>
              <w:pStyle w:val="ListParagraph"/>
              <w:ind w:left="313" w:right="175"/>
              <w:rPr>
                <w:rStyle w:val="IntenseEmphasis"/>
                <w:rFonts w:ascii="Arial" w:hAnsi="Arial" w:cs="Arial"/>
                <w:b w:val="0"/>
                <w:bCs w:val="0"/>
                <w:i w:val="0"/>
                <w:iCs w:val="0"/>
                <w:color w:val="auto"/>
              </w:rPr>
            </w:pPr>
          </w:p>
        </w:tc>
      </w:tr>
      <w:tr w:rsidR="00A43721" w:rsidRPr="008E68BA" w14:paraId="7F2CF753" w14:textId="77777777" w:rsidTr="006050B9">
        <w:tc>
          <w:tcPr>
            <w:tcW w:w="9634" w:type="dxa"/>
            <w:gridSpan w:val="2"/>
            <w:shd w:val="clear" w:color="auto" w:fill="E7E6E6" w:themeFill="background2"/>
          </w:tcPr>
          <w:p w14:paraId="45A5A80E" w14:textId="77777777" w:rsidR="00A43721" w:rsidRPr="008E68BA" w:rsidRDefault="00A43721" w:rsidP="008E68BA">
            <w:pPr>
              <w:spacing w:before="40" w:after="40"/>
              <w:ind w:left="29"/>
              <w:rPr>
                <w:rStyle w:val="IntenseEmphasis"/>
                <w:rFonts w:ascii="Arial" w:eastAsia="Calibri" w:hAnsi="Arial" w:cs="Arial"/>
                <w:i w:val="0"/>
                <w:iCs w:val="0"/>
                <w:color w:val="auto"/>
                <w:lang w:eastAsia="en-US"/>
              </w:rPr>
            </w:pPr>
            <w:r w:rsidRPr="008E68BA">
              <w:rPr>
                <w:rStyle w:val="IntenseEmphasis"/>
                <w:rFonts w:ascii="Arial" w:eastAsia="Calibri" w:hAnsi="Arial" w:cs="Arial"/>
                <w:i w:val="0"/>
                <w:iCs w:val="0"/>
                <w:color w:val="auto"/>
                <w:lang w:eastAsia="en-US"/>
              </w:rPr>
              <w:t>Micro</w:t>
            </w:r>
            <w:r w:rsidR="008B2608" w:rsidRPr="008E68BA">
              <w:rPr>
                <w:rStyle w:val="IntenseEmphasis"/>
                <w:rFonts w:ascii="Arial" w:eastAsia="Calibri" w:hAnsi="Arial" w:cs="Arial"/>
                <w:i w:val="0"/>
                <w:iCs w:val="0"/>
                <w:color w:val="auto"/>
                <w:lang w:eastAsia="en-US"/>
              </w:rPr>
              <w:t>-</w:t>
            </w:r>
            <w:r w:rsidRPr="008E68BA">
              <w:rPr>
                <w:rStyle w:val="IntenseEmphasis"/>
                <w:rFonts w:ascii="Arial" w:eastAsia="Calibri" w:hAnsi="Arial" w:cs="Arial"/>
                <w:i w:val="0"/>
                <w:iCs w:val="0"/>
                <w:color w:val="auto"/>
                <w:lang w:eastAsia="en-US"/>
              </w:rPr>
              <w:t xml:space="preserve">Strategy and </w:t>
            </w:r>
            <w:proofErr w:type="spellStart"/>
            <w:r w:rsidRPr="008E68BA">
              <w:rPr>
                <w:rStyle w:val="IntenseEmphasis"/>
                <w:rFonts w:ascii="Arial" w:eastAsia="Calibri" w:hAnsi="Arial" w:cs="Arial"/>
                <w:i w:val="0"/>
                <w:iCs w:val="0"/>
                <w:color w:val="auto"/>
                <w:lang w:eastAsia="en-US"/>
              </w:rPr>
              <w:t>ICNet</w:t>
            </w:r>
            <w:proofErr w:type="spellEnd"/>
            <w:r w:rsidRPr="008E68BA">
              <w:rPr>
                <w:rStyle w:val="IntenseEmphasis"/>
                <w:rFonts w:ascii="Arial" w:eastAsia="Calibri" w:hAnsi="Arial" w:cs="Arial"/>
                <w:i w:val="0"/>
                <w:iCs w:val="0"/>
                <w:color w:val="auto"/>
                <w:lang w:eastAsia="en-US"/>
              </w:rPr>
              <w:t xml:space="preserve"> – </w:t>
            </w:r>
            <w:r w:rsidR="0042778F" w:rsidRPr="008E68BA">
              <w:rPr>
                <w:rStyle w:val="IntenseEmphasis"/>
                <w:rFonts w:ascii="Arial" w:eastAsia="Calibri" w:hAnsi="Arial" w:cs="Arial"/>
                <w:i w:val="0"/>
                <w:iCs w:val="0"/>
                <w:color w:val="auto"/>
                <w:lang w:eastAsia="en-US"/>
              </w:rPr>
              <w:t>p</w:t>
            </w:r>
            <w:r w:rsidRPr="008E68BA">
              <w:rPr>
                <w:rStyle w:val="IntenseEmphasis"/>
                <w:rFonts w:ascii="Arial" w:eastAsia="Calibri" w:hAnsi="Arial" w:cs="Arial"/>
                <w:i w:val="0"/>
                <w:iCs w:val="0"/>
                <w:color w:val="auto"/>
                <w:lang w:eastAsia="en-US"/>
              </w:rPr>
              <w:t xml:space="preserve">rospective tailored </w:t>
            </w:r>
            <w:r w:rsidR="00F1260E" w:rsidRPr="008E68BA">
              <w:rPr>
                <w:rStyle w:val="IntenseEmphasis"/>
                <w:rFonts w:ascii="Arial" w:eastAsia="Calibri" w:hAnsi="Arial" w:cs="Arial"/>
                <w:i w:val="0"/>
                <w:iCs w:val="0"/>
                <w:color w:val="auto"/>
                <w:lang w:eastAsia="en-US"/>
              </w:rPr>
              <w:t xml:space="preserve">data </w:t>
            </w:r>
            <w:r w:rsidRPr="008E68BA">
              <w:rPr>
                <w:rStyle w:val="IntenseEmphasis"/>
                <w:rFonts w:ascii="Arial" w:eastAsia="Calibri" w:hAnsi="Arial" w:cs="Arial"/>
                <w:i w:val="0"/>
                <w:iCs w:val="0"/>
                <w:color w:val="auto"/>
                <w:lang w:eastAsia="en-US"/>
              </w:rPr>
              <w:t xml:space="preserve">provision on </w:t>
            </w:r>
            <w:r w:rsidR="007077EC" w:rsidRPr="008E68BA">
              <w:rPr>
                <w:rStyle w:val="IntenseEmphasis"/>
                <w:rFonts w:ascii="Arial" w:eastAsia="Calibri" w:hAnsi="Arial" w:cs="Arial"/>
                <w:i w:val="0"/>
                <w:iCs w:val="0"/>
                <w:color w:val="auto"/>
                <w:lang w:eastAsia="en-US"/>
              </w:rPr>
              <w:t>SAB, CDI</w:t>
            </w:r>
            <w:r w:rsidRPr="008E68BA">
              <w:rPr>
                <w:rStyle w:val="IntenseEmphasis"/>
                <w:rFonts w:ascii="Arial" w:eastAsia="Calibri" w:hAnsi="Arial" w:cs="Arial"/>
                <w:i w:val="0"/>
                <w:iCs w:val="0"/>
                <w:color w:val="auto"/>
                <w:lang w:eastAsia="en-US"/>
              </w:rPr>
              <w:t xml:space="preserve"> </w:t>
            </w:r>
            <w:r w:rsidR="007077EC" w:rsidRPr="008E68BA">
              <w:rPr>
                <w:rStyle w:val="IntenseEmphasis"/>
                <w:rFonts w:ascii="Arial" w:eastAsia="Calibri" w:hAnsi="Arial" w:cs="Arial"/>
                <w:i w:val="0"/>
                <w:iCs w:val="0"/>
                <w:color w:val="auto"/>
                <w:lang w:eastAsia="en-US"/>
              </w:rPr>
              <w:t xml:space="preserve">and </w:t>
            </w:r>
            <w:r w:rsidRPr="008E68BA">
              <w:rPr>
                <w:rStyle w:val="IntenseEmphasis"/>
                <w:rFonts w:ascii="Arial" w:eastAsia="Calibri" w:hAnsi="Arial" w:cs="Arial"/>
                <w:i w:val="0"/>
                <w:iCs w:val="0"/>
                <w:color w:val="auto"/>
                <w:lang w:eastAsia="en-US"/>
              </w:rPr>
              <w:t>ECB: May 2021</w:t>
            </w:r>
          </w:p>
        </w:tc>
      </w:tr>
      <w:tr w:rsidR="00A43721" w:rsidRPr="008E68BA" w14:paraId="6B122118" w14:textId="77777777" w:rsidTr="006050B9">
        <w:tc>
          <w:tcPr>
            <w:tcW w:w="9634" w:type="dxa"/>
            <w:gridSpan w:val="2"/>
          </w:tcPr>
          <w:p w14:paraId="7B192DF9" w14:textId="77777777" w:rsidR="00A43721" w:rsidRPr="008E68BA" w:rsidRDefault="00173659" w:rsidP="008E68BA">
            <w:pPr>
              <w:shd w:val="clear" w:color="auto" w:fill="FFFFFF"/>
              <w:spacing w:before="120"/>
              <w:ind w:left="29" w:right="170"/>
              <w:textAlignment w:val="baseline"/>
              <w:rPr>
                <w:rFonts w:ascii="Arial" w:hAnsi="Arial" w:cs="Arial"/>
                <w:color w:val="000000"/>
                <w:bdr w:val="none" w:sz="0" w:space="0" w:color="auto" w:frame="1"/>
                <w:shd w:val="clear" w:color="auto" w:fill="FFFFFF"/>
              </w:rPr>
            </w:pPr>
            <w:r w:rsidRPr="008E68BA">
              <w:rPr>
                <w:rFonts w:ascii="Arial" w:hAnsi="Arial" w:cs="Arial"/>
                <w:color w:val="000000"/>
                <w:bdr w:val="none" w:sz="0" w:space="0" w:color="auto" w:frame="1"/>
                <w:shd w:val="clear" w:color="auto" w:fill="FFFFFF"/>
              </w:rPr>
              <w:lastRenderedPageBreak/>
              <w:t>IPC</w:t>
            </w:r>
            <w:r w:rsidR="00A43721" w:rsidRPr="008E68BA">
              <w:rPr>
                <w:rFonts w:ascii="Arial" w:hAnsi="Arial" w:cs="Arial"/>
                <w:color w:val="000000"/>
                <w:bdr w:val="none" w:sz="0" w:space="0" w:color="auto" w:frame="1"/>
                <w:shd w:val="clear" w:color="auto" w:fill="FFFFFF"/>
              </w:rPr>
              <w:t xml:space="preserve"> have been working collaboratively with eHealth colleagues to incorporate several measures into the </w:t>
            </w:r>
            <w:proofErr w:type="spellStart"/>
            <w:r w:rsidR="00A43721" w:rsidRPr="008E68BA">
              <w:rPr>
                <w:rFonts w:ascii="Arial" w:hAnsi="Arial" w:cs="Arial"/>
                <w:color w:val="000000"/>
                <w:bdr w:val="none" w:sz="0" w:space="0" w:color="auto" w:frame="1"/>
                <w:shd w:val="clear" w:color="auto" w:fill="FFFFFF"/>
              </w:rPr>
              <w:t>MicroStrategy</w:t>
            </w:r>
            <w:proofErr w:type="spellEnd"/>
            <w:r w:rsidR="00A43721" w:rsidRPr="008E68BA">
              <w:rPr>
                <w:rFonts w:ascii="Arial" w:hAnsi="Arial" w:cs="Arial"/>
                <w:color w:val="000000"/>
                <w:bdr w:val="none" w:sz="0" w:space="0" w:color="auto" w:frame="1"/>
                <w:shd w:val="clear" w:color="auto" w:fill="FFFFFF"/>
              </w:rPr>
              <w:t xml:space="preserve"> dashboard. </w:t>
            </w:r>
            <w:r w:rsidRPr="008E68BA">
              <w:rPr>
                <w:rFonts w:ascii="Arial" w:hAnsi="Arial" w:cs="Arial"/>
                <w:color w:val="000000"/>
                <w:bdr w:val="none" w:sz="0" w:space="0" w:color="auto" w:frame="1"/>
                <w:shd w:val="clear" w:color="auto" w:fill="FFFFFF"/>
              </w:rPr>
              <w:t xml:space="preserve"> </w:t>
            </w:r>
            <w:r w:rsidR="00A43721" w:rsidRPr="008E68BA">
              <w:rPr>
                <w:rFonts w:ascii="Arial" w:hAnsi="Arial" w:cs="Arial"/>
                <w:color w:val="000000"/>
                <w:bdr w:val="none" w:sz="0" w:space="0" w:color="auto" w:frame="1"/>
                <w:shd w:val="clear" w:color="auto" w:fill="FFFFFF"/>
              </w:rPr>
              <w:t>These went live in May 2021.</w:t>
            </w:r>
          </w:p>
          <w:p w14:paraId="1005AF5B" w14:textId="77777777" w:rsidR="00A43721" w:rsidRPr="008E68BA" w:rsidRDefault="00A43721" w:rsidP="008E68BA">
            <w:pPr>
              <w:shd w:val="clear" w:color="auto" w:fill="FFFFFF"/>
              <w:ind w:left="29" w:right="170"/>
              <w:textAlignment w:val="baseline"/>
              <w:rPr>
                <w:rFonts w:ascii="Arial" w:hAnsi="Arial" w:cs="Arial"/>
                <w:color w:val="000000"/>
                <w:bdr w:val="none" w:sz="0" w:space="0" w:color="auto" w:frame="1"/>
                <w:shd w:val="clear" w:color="auto" w:fill="FFFFFF"/>
              </w:rPr>
            </w:pPr>
          </w:p>
          <w:p w14:paraId="45250050" w14:textId="77777777" w:rsidR="00A43721" w:rsidRPr="008E68BA" w:rsidRDefault="00A43721" w:rsidP="008E68BA">
            <w:pPr>
              <w:shd w:val="clear" w:color="auto" w:fill="FFFFFF"/>
              <w:ind w:left="29" w:right="170"/>
              <w:textAlignment w:val="baseline"/>
              <w:rPr>
                <w:rFonts w:ascii="Arial" w:hAnsi="Arial" w:cs="Arial"/>
              </w:rPr>
            </w:pPr>
            <w:r w:rsidRPr="008E68BA">
              <w:rPr>
                <w:rFonts w:ascii="Arial" w:hAnsi="Arial" w:cs="Arial"/>
                <w:color w:val="000000"/>
                <w:bdr w:val="none" w:sz="0" w:space="0" w:color="auto" w:frame="1"/>
                <w:shd w:val="clear" w:color="auto" w:fill="FFFFFF"/>
              </w:rPr>
              <w:t xml:space="preserve">This will enable staff to quickly view prospective information on </w:t>
            </w:r>
            <w:r w:rsidR="007077EC" w:rsidRPr="008E68BA">
              <w:rPr>
                <w:rFonts w:ascii="Arial" w:hAnsi="Arial" w:cs="Arial"/>
                <w:color w:val="000000"/>
                <w:bdr w:val="none" w:sz="0" w:space="0" w:color="auto" w:frame="1"/>
                <w:shd w:val="clear" w:color="auto" w:fill="FFFFFF"/>
              </w:rPr>
              <w:t>SAB, CDI and ECB</w:t>
            </w:r>
            <w:r w:rsidR="00173659" w:rsidRPr="008E68BA">
              <w:rPr>
                <w:rFonts w:ascii="Arial" w:hAnsi="Arial" w:cs="Arial"/>
                <w:color w:val="000000"/>
                <w:bdr w:val="none" w:sz="0" w:space="0" w:color="auto" w:frame="1"/>
                <w:shd w:val="clear" w:color="auto" w:fill="FFFFFF"/>
              </w:rPr>
              <w:t xml:space="preserve"> from ward to b</w:t>
            </w:r>
            <w:r w:rsidRPr="008E68BA">
              <w:rPr>
                <w:rFonts w:ascii="Arial" w:hAnsi="Arial" w:cs="Arial"/>
                <w:color w:val="000000"/>
                <w:bdr w:val="none" w:sz="0" w:space="0" w:color="auto" w:frame="1"/>
                <w:shd w:val="clear" w:color="auto" w:fill="FFFFFF"/>
              </w:rPr>
              <w:t>oard level.</w:t>
            </w:r>
            <w:r w:rsidR="00173659" w:rsidRPr="008E68BA">
              <w:rPr>
                <w:rFonts w:ascii="Arial" w:hAnsi="Arial" w:cs="Arial"/>
                <w:color w:val="000000"/>
                <w:bdr w:val="none" w:sz="0" w:space="0" w:color="auto" w:frame="1"/>
                <w:shd w:val="clear" w:color="auto" w:fill="FFFFFF"/>
              </w:rPr>
              <w:t xml:space="preserve"> </w:t>
            </w:r>
            <w:r w:rsidRPr="008E68BA">
              <w:rPr>
                <w:rFonts w:ascii="Arial" w:hAnsi="Arial" w:cs="Arial"/>
                <w:color w:val="000000"/>
                <w:bdr w:val="none" w:sz="0" w:space="0" w:color="auto" w:frame="1"/>
                <w:shd w:val="clear" w:color="auto" w:fill="FFFFFF"/>
              </w:rPr>
              <w:t xml:space="preserve"> The software platform has the benefits of providing users with the ability to view all key quality indicators in one screen to get a quick overview of hospital performance in real-time and also </w:t>
            </w:r>
            <w:r w:rsidRPr="008E68BA">
              <w:rPr>
                <w:rFonts w:ascii="Arial" w:hAnsi="Arial" w:cs="Arial"/>
                <w:bdr w:val="none" w:sz="0" w:space="0" w:color="auto" w:frame="1"/>
                <w:shd w:val="clear" w:color="auto" w:fill="FFFFFF"/>
              </w:rPr>
              <w:t>easily interpret detailed information with data graphics.</w:t>
            </w:r>
          </w:p>
          <w:p w14:paraId="3789D721" w14:textId="77777777" w:rsidR="00A43721" w:rsidRPr="008E68BA" w:rsidRDefault="00A43721" w:rsidP="008E68BA">
            <w:pPr>
              <w:ind w:left="29" w:right="170"/>
              <w:rPr>
                <w:rStyle w:val="IntenseEmphasis"/>
                <w:rFonts w:ascii="Arial" w:eastAsia="Calibri" w:hAnsi="Arial" w:cs="Arial"/>
                <w:b w:val="0"/>
                <w:i w:val="0"/>
                <w:iCs w:val="0"/>
                <w:color w:val="auto"/>
                <w:lang w:eastAsia="en-US"/>
              </w:rPr>
            </w:pPr>
          </w:p>
          <w:p w14:paraId="1A0CD6B9" w14:textId="2396DF70" w:rsidR="00A43721" w:rsidRPr="008E68BA" w:rsidRDefault="00A43721" w:rsidP="008E68BA">
            <w:pPr>
              <w:shd w:val="clear" w:color="auto" w:fill="FFFFFF"/>
              <w:ind w:left="29" w:right="170"/>
              <w:textAlignment w:val="baseline"/>
              <w:rPr>
                <w:rFonts w:ascii="Arial" w:hAnsi="Arial" w:cs="Arial"/>
                <w:color w:val="201F1E"/>
              </w:rPr>
            </w:pPr>
            <w:r w:rsidRPr="008E68BA">
              <w:rPr>
                <w:rFonts w:ascii="Arial" w:hAnsi="Arial" w:cs="Arial"/>
                <w:color w:val="000000"/>
                <w:bdr w:val="none" w:sz="0" w:space="0" w:color="auto" w:frame="1"/>
              </w:rPr>
              <w:t>Security access for each specific user will allow tailored access to interactive dossiers for each ward area.</w:t>
            </w:r>
            <w:r w:rsidR="00886B34" w:rsidRPr="008E68BA">
              <w:rPr>
                <w:rFonts w:ascii="Arial" w:hAnsi="Arial" w:cs="Arial"/>
                <w:color w:val="000000"/>
                <w:bdr w:val="none" w:sz="0" w:space="0" w:color="auto" w:frame="1"/>
              </w:rPr>
              <w:t xml:space="preserve"> </w:t>
            </w:r>
            <w:r w:rsidRPr="008E68BA">
              <w:rPr>
                <w:rFonts w:ascii="Arial" w:hAnsi="Arial" w:cs="Arial"/>
                <w:color w:val="000000"/>
                <w:bdr w:val="none" w:sz="0" w:space="0" w:color="auto" w:frame="1"/>
              </w:rPr>
              <w:t xml:space="preserve"> The system provides functionality to filter reports seamlessly for the users and the capacity to </w:t>
            </w:r>
            <w:r w:rsidRPr="008E68BA">
              <w:rPr>
                <w:rFonts w:ascii="Arial" w:hAnsi="Arial" w:cs="Arial"/>
                <w:color w:val="000000"/>
                <w:bdr w:val="none" w:sz="0" w:space="0" w:color="auto" w:frame="1"/>
                <w:shd w:val="clear" w:color="auto" w:fill="FFFFFF"/>
              </w:rPr>
              <w:t>view trends over time to monitor improvement in the reduction of HCAI cases</w:t>
            </w:r>
            <w:r w:rsidRPr="008E68BA">
              <w:rPr>
                <w:rFonts w:ascii="Arial" w:hAnsi="Arial" w:cs="Arial"/>
                <w:color w:val="000000"/>
                <w:bdr w:val="none" w:sz="0" w:space="0" w:color="auto" w:frame="1"/>
              </w:rPr>
              <w:t> in NHSGGC.</w:t>
            </w:r>
            <w:r w:rsidR="004E1D08" w:rsidRPr="008E68BA">
              <w:rPr>
                <w:rFonts w:ascii="Arial" w:hAnsi="Arial" w:cs="Arial"/>
                <w:color w:val="201F1E"/>
              </w:rPr>
              <w:t xml:space="preserve">  </w:t>
            </w:r>
            <w:r w:rsidRPr="008E68BA">
              <w:rPr>
                <w:rFonts w:ascii="Arial" w:hAnsi="Arial" w:cs="Arial"/>
                <w:color w:val="000000"/>
                <w:bdr w:val="none" w:sz="0" w:space="0" w:color="auto" w:frame="1"/>
              </w:rPr>
              <w:t xml:space="preserve">This will allow senior charge nurses in the Acute sector to access their own ward level data on each of the three measures. </w:t>
            </w:r>
            <w:r w:rsidR="00886B34" w:rsidRPr="008E68BA">
              <w:rPr>
                <w:rFonts w:ascii="Arial" w:hAnsi="Arial" w:cs="Arial"/>
                <w:color w:val="000000"/>
                <w:bdr w:val="none" w:sz="0" w:space="0" w:color="auto" w:frame="1"/>
              </w:rPr>
              <w:t xml:space="preserve"> </w:t>
            </w:r>
            <w:r w:rsidRPr="008E68BA">
              <w:rPr>
                <w:rFonts w:ascii="Arial" w:hAnsi="Arial" w:cs="Arial"/>
                <w:color w:val="000000"/>
                <w:bdr w:val="none" w:sz="0" w:space="0" w:color="auto" w:frame="1"/>
              </w:rPr>
              <w:t>Lead Nurses, C</w:t>
            </w:r>
            <w:r w:rsidR="00886B34" w:rsidRPr="008E68BA">
              <w:rPr>
                <w:rFonts w:ascii="Arial" w:hAnsi="Arial" w:cs="Arial"/>
                <w:color w:val="000000"/>
                <w:bdr w:val="none" w:sz="0" w:space="0" w:color="auto" w:frame="1"/>
              </w:rPr>
              <w:t>linical Service Manager</w:t>
            </w:r>
            <w:r w:rsidRPr="008E68BA">
              <w:rPr>
                <w:rFonts w:ascii="Arial" w:hAnsi="Arial" w:cs="Arial"/>
                <w:color w:val="000000"/>
                <w:bdr w:val="none" w:sz="0" w:space="0" w:color="auto" w:frame="1"/>
              </w:rPr>
              <w:t>s and General Managers will have access to the wards and hospitals included in their remit. </w:t>
            </w:r>
          </w:p>
          <w:p w14:paraId="79963864" w14:textId="77777777" w:rsidR="00886B34" w:rsidRPr="008E68BA" w:rsidRDefault="00886B34" w:rsidP="008E68BA">
            <w:pPr>
              <w:shd w:val="clear" w:color="auto" w:fill="FFFFFF"/>
              <w:ind w:left="29" w:right="170"/>
              <w:textAlignment w:val="baseline"/>
              <w:rPr>
                <w:rFonts w:ascii="Arial" w:hAnsi="Arial" w:cs="Arial"/>
                <w:color w:val="201F1E"/>
              </w:rPr>
            </w:pPr>
          </w:p>
          <w:p w14:paraId="12FE5595" w14:textId="77777777" w:rsidR="00A43721" w:rsidRPr="008E68BA" w:rsidRDefault="00A43721" w:rsidP="008E68BA">
            <w:pPr>
              <w:shd w:val="clear" w:color="auto" w:fill="FFFFFF"/>
              <w:ind w:left="29" w:right="170"/>
              <w:textAlignment w:val="baseline"/>
              <w:rPr>
                <w:rFonts w:ascii="Arial" w:hAnsi="Arial" w:cs="Arial"/>
                <w:color w:val="000000"/>
                <w:bdr w:val="none" w:sz="0" w:space="0" w:color="auto" w:frame="1"/>
              </w:rPr>
            </w:pPr>
            <w:r w:rsidRPr="008E68BA">
              <w:rPr>
                <w:rFonts w:ascii="Arial" w:hAnsi="Arial" w:cs="Arial"/>
                <w:color w:val="000000"/>
                <w:bdr w:val="none" w:sz="0" w:space="0" w:color="auto" w:frame="1"/>
              </w:rPr>
              <w:t>Acute Directors, the Chief Operating Officer and Chief Executive will also be able to view this information via the suite of reporting tools.</w:t>
            </w:r>
          </w:p>
          <w:p w14:paraId="4225F558" w14:textId="77777777" w:rsidR="00A43721" w:rsidRPr="008E68BA" w:rsidRDefault="00A43721" w:rsidP="008E68BA">
            <w:pPr>
              <w:shd w:val="clear" w:color="auto" w:fill="FFFFFF"/>
              <w:ind w:left="29" w:right="170"/>
              <w:textAlignment w:val="baseline"/>
              <w:rPr>
                <w:rFonts w:ascii="Arial" w:hAnsi="Arial" w:cs="Arial"/>
                <w:color w:val="000000"/>
                <w:bdr w:val="none" w:sz="0" w:space="0" w:color="auto" w:frame="1"/>
              </w:rPr>
            </w:pPr>
          </w:p>
          <w:p w14:paraId="4541FDFF" w14:textId="77777777" w:rsidR="00A43721" w:rsidRPr="008E68BA" w:rsidRDefault="00A43721" w:rsidP="008E68BA">
            <w:pPr>
              <w:shd w:val="clear" w:color="auto" w:fill="FFFFFF"/>
              <w:ind w:left="29" w:right="170"/>
              <w:textAlignment w:val="baseline"/>
              <w:rPr>
                <w:rFonts w:ascii="Arial" w:hAnsi="Arial" w:cs="Arial"/>
                <w:color w:val="000000"/>
                <w:bdr w:val="none" w:sz="0" w:space="0" w:color="auto" w:frame="1"/>
              </w:rPr>
            </w:pPr>
            <w:r w:rsidRPr="008E68BA">
              <w:rPr>
                <w:rFonts w:ascii="Arial" w:hAnsi="Arial" w:cs="Arial"/>
                <w:color w:val="000000"/>
                <w:bdr w:val="none" w:sz="0" w:space="0" w:color="auto" w:frame="1"/>
              </w:rPr>
              <w:t xml:space="preserve">Work is ongoing to capture </w:t>
            </w:r>
            <w:r w:rsidR="00886B34" w:rsidRPr="008E68BA">
              <w:rPr>
                <w:rFonts w:ascii="Arial" w:hAnsi="Arial" w:cs="Arial"/>
                <w:color w:val="000000"/>
                <w:bdr w:val="none" w:sz="0" w:space="0" w:color="auto" w:frame="1"/>
              </w:rPr>
              <w:t>SSI s</w:t>
            </w:r>
            <w:r w:rsidRPr="008E68BA">
              <w:rPr>
                <w:rFonts w:ascii="Arial" w:hAnsi="Arial" w:cs="Arial"/>
                <w:color w:val="000000"/>
                <w:bdr w:val="none" w:sz="0" w:space="0" w:color="auto" w:frame="1"/>
              </w:rPr>
              <w:t xml:space="preserve">urveillance information on the platform which will also provide </w:t>
            </w:r>
            <w:r w:rsidR="00F1260E" w:rsidRPr="008E68BA">
              <w:rPr>
                <w:rFonts w:ascii="Arial" w:hAnsi="Arial" w:cs="Arial"/>
                <w:color w:val="000000"/>
                <w:bdr w:val="none" w:sz="0" w:space="0" w:color="auto" w:frame="1"/>
              </w:rPr>
              <w:t>prospective data provision on</w:t>
            </w:r>
            <w:r w:rsidRPr="008E68BA">
              <w:rPr>
                <w:rFonts w:ascii="Arial" w:hAnsi="Arial" w:cs="Arial"/>
                <w:color w:val="000000"/>
                <w:bdr w:val="none" w:sz="0" w:space="0" w:color="auto" w:frame="1"/>
              </w:rPr>
              <w:t xml:space="preserve"> existing surgical </w:t>
            </w:r>
            <w:r w:rsidR="00F1260E" w:rsidRPr="008E68BA">
              <w:rPr>
                <w:rFonts w:ascii="Arial" w:hAnsi="Arial" w:cs="Arial"/>
                <w:color w:val="000000"/>
                <w:bdr w:val="none" w:sz="0" w:space="0" w:color="auto" w:frame="1"/>
              </w:rPr>
              <w:t>procedures to the respective surgical clinicians.</w:t>
            </w:r>
          </w:p>
          <w:p w14:paraId="33E6E999" w14:textId="6E068B60" w:rsidR="007B07DD" w:rsidRPr="008E68BA" w:rsidRDefault="003B328C" w:rsidP="008E68BA">
            <w:pPr>
              <w:shd w:val="clear" w:color="auto" w:fill="FFFFFF"/>
              <w:ind w:left="29" w:right="170"/>
              <w:textAlignment w:val="baseline"/>
              <w:rPr>
                <w:rFonts w:ascii="Arial" w:hAnsi="Arial" w:cs="Arial"/>
                <w:color w:val="000000"/>
                <w:bdr w:val="none" w:sz="0" w:space="0" w:color="auto" w:frame="1"/>
              </w:rPr>
            </w:pPr>
            <w:r w:rsidRPr="008E68BA">
              <w:rPr>
                <w:rFonts w:ascii="Arial" w:hAnsi="Arial" w:cs="Arial"/>
                <w:color w:val="000000"/>
                <w:bdr w:val="none" w:sz="0" w:space="0" w:color="auto" w:frame="1"/>
              </w:rPr>
              <w:t>This is expected to go live in December 2021.</w:t>
            </w:r>
          </w:p>
          <w:p w14:paraId="0FB9EEFD" w14:textId="77777777" w:rsidR="00A43721" w:rsidRPr="008E68BA" w:rsidRDefault="00A43721" w:rsidP="008E68BA">
            <w:pPr>
              <w:ind w:left="29" w:right="170"/>
              <w:rPr>
                <w:rStyle w:val="IntenseEmphasis"/>
                <w:rFonts w:ascii="Arial" w:eastAsia="Calibri" w:hAnsi="Arial" w:cs="Arial"/>
                <w:b w:val="0"/>
                <w:i w:val="0"/>
                <w:iCs w:val="0"/>
                <w:color w:val="auto"/>
                <w:lang w:eastAsia="en-US"/>
              </w:rPr>
            </w:pPr>
          </w:p>
        </w:tc>
      </w:tr>
    </w:tbl>
    <w:p w14:paraId="2E0F6F71" w14:textId="77777777" w:rsidR="00FF0DD6" w:rsidRPr="008E68BA" w:rsidRDefault="00FF0DD6" w:rsidP="008E68BA">
      <w:pPr>
        <w:rPr>
          <w:rFonts w:ascii="Arial" w:hAnsi="Arial" w:cs="Arial"/>
          <w:b/>
          <w:color w:val="C00000"/>
        </w:rPr>
      </w:pPr>
    </w:p>
    <w:p w14:paraId="31408173" w14:textId="77777777" w:rsidR="006050B9" w:rsidRPr="008E68BA" w:rsidRDefault="006050B9" w:rsidP="008E68BA">
      <w:pPr>
        <w:rPr>
          <w:rFonts w:ascii="Arial" w:hAnsi="Arial" w:cs="Arial"/>
          <w:b/>
          <w:color w:val="C00000"/>
        </w:rPr>
      </w:pPr>
    </w:p>
    <w:tbl>
      <w:tblPr>
        <w:tblStyle w:val="TableGrid"/>
        <w:tblW w:w="0" w:type="auto"/>
        <w:tblLook w:val="04A0" w:firstRow="1" w:lastRow="0" w:firstColumn="1" w:lastColumn="0" w:noHBand="0" w:noVBand="1"/>
      </w:tblPr>
      <w:tblGrid>
        <w:gridCol w:w="9771"/>
      </w:tblGrid>
      <w:tr w:rsidR="006050B9" w:rsidRPr="008E68BA" w14:paraId="346C4AC2" w14:textId="77777777" w:rsidTr="006050B9">
        <w:tc>
          <w:tcPr>
            <w:tcW w:w="9771" w:type="dxa"/>
          </w:tcPr>
          <w:p w14:paraId="520F6A42" w14:textId="397CCAB8" w:rsidR="006050B9" w:rsidRPr="008E68BA" w:rsidRDefault="006050B9" w:rsidP="008E68BA">
            <w:pPr>
              <w:rPr>
                <w:rFonts w:ascii="Arial" w:hAnsi="Arial" w:cs="Arial"/>
                <w:b/>
                <w:color w:val="C00000"/>
              </w:rPr>
            </w:pPr>
            <w:r w:rsidRPr="008E68BA">
              <w:rPr>
                <w:rFonts w:ascii="Arial" w:hAnsi="Arial" w:cs="Arial"/>
                <w:b/>
              </w:rPr>
              <w:t xml:space="preserve">Surgical Site Infection (SSI) Surveillance </w:t>
            </w:r>
          </w:p>
        </w:tc>
      </w:tr>
    </w:tbl>
    <w:p w14:paraId="06928FB3" w14:textId="77777777" w:rsidR="006050B9" w:rsidRPr="008E68BA" w:rsidRDefault="006050B9" w:rsidP="008E68BA">
      <w:pPr>
        <w:rPr>
          <w:rFonts w:ascii="Arial" w:hAnsi="Arial" w:cs="Arial"/>
          <w:b/>
          <w:color w:val="C00000"/>
        </w:rPr>
      </w:pPr>
    </w:p>
    <w:p w14:paraId="52E81F8E" w14:textId="77777777" w:rsidR="00FF0DD6" w:rsidRPr="008E68BA" w:rsidRDefault="00FF0DD6" w:rsidP="008E68BA">
      <w:pPr>
        <w:rPr>
          <w:rFonts w:ascii="Arial" w:hAnsi="Arial" w:cs="Arial"/>
          <w:b/>
          <w:color w:val="000000" w:themeColor="text1"/>
        </w:rPr>
      </w:pPr>
      <w:r w:rsidRPr="008E68BA">
        <w:rPr>
          <w:rFonts w:ascii="Arial" w:hAnsi="Arial" w:cs="Arial"/>
          <w:b/>
          <w:color w:val="000000" w:themeColor="text1"/>
        </w:rPr>
        <w:t>September and October 2021 procedures</w:t>
      </w:r>
    </w:p>
    <w:p w14:paraId="266994D5" w14:textId="0C1DCADA" w:rsidR="007B57A6" w:rsidRPr="008E68BA" w:rsidRDefault="00FB552A" w:rsidP="008E68BA">
      <w:pPr>
        <w:ind w:right="141"/>
        <w:rPr>
          <w:rFonts w:ascii="Arial" w:hAnsi="Arial" w:cs="Arial"/>
        </w:rPr>
      </w:pPr>
      <w:r w:rsidRPr="008E68BA">
        <w:rPr>
          <w:rFonts w:ascii="Arial" w:hAnsi="Arial" w:cs="Arial"/>
        </w:rPr>
        <w:t xml:space="preserve">SSI surveillance was temporarily paused in April and May 2020 due to COVID-19 response.  Local surveillance recommenced 1 June 2020.  Surveillance is currently ongoing for </w:t>
      </w:r>
      <w:r w:rsidR="003B328C" w:rsidRPr="008E68BA">
        <w:rPr>
          <w:rFonts w:ascii="Arial" w:hAnsi="Arial" w:cs="Arial"/>
        </w:rPr>
        <w:t xml:space="preserve">October </w:t>
      </w:r>
      <w:r w:rsidRPr="008E68BA">
        <w:rPr>
          <w:rFonts w:ascii="Arial" w:hAnsi="Arial" w:cs="Arial"/>
        </w:rPr>
        <w:t xml:space="preserve">procedures.  </w:t>
      </w:r>
      <w:r w:rsidR="00FA0E52" w:rsidRPr="008E68BA">
        <w:rPr>
          <w:rFonts w:ascii="Arial" w:hAnsi="Arial" w:cs="Arial"/>
        </w:rPr>
        <w:t xml:space="preserve">Prospective information on SSIs detected is </w:t>
      </w:r>
      <w:r w:rsidRPr="008E68BA">
        <w:rPr>
          <w:rFonts w:ascii="Arial" w:hAnsi="Arial" w:cs="Arial"/>
        </w:rPr>
        <w:t xml:space="preserve">returned to local clinical teams for action if any is required. </w:t>
      </w:r>
    </w:p>
    <w:p w14:paraId="03472D25" w14:textId="77777777" w:rsidR="004949A1" w:rsidRPr="008E68BA" w:rsidRDefault="004949A1" w:rsidP="008E68BA">
      <w:pPr>
        <w:ind w:right="141"/>
        <w:rPr>
          <w:rFonts w:ascii="Arial" w:hAnsi="Arial" w:cs="Arial"/>
        </w:rPr>
      </w:pPr>
    </w:p>
    <w:p w14:paraId="3B7F846C" w14:textId="77777777" w:rsidR="007937FB" w:rsidRPr="008E68BA" w:rsidRDefault="000B4A35" w:rsidP="008E68BA">
      <w:pPr>
        <w:ind w:right="141"/>
        <w:rPr>
          <w:rFonts w:ascii="Arial" w:hAnsi="Arial" w:cs="Arial"/>
        </w:rPr>
      </w:pPr>
      <w:r w:rsidRPr="008E68BA">
        <w:rPr>
          <w:rFonts w:ascii="Arial" w:hAnsi="Arial" w:cs="Arial"/>
        </w:rPr>
        <w:t>SSI rates should be interpreted with due caution, as procedure denominators va</w:t>
      </w:r>
      <w:r w:rsidR="00E578DF" w:rsidRPr="008E68BA">
        <w:rPr>
          <w:rFonts w:ascii="Arial" w:hAnsi="Arial" w:cs="Arial"/>
        </w:rPr>
        <w:t>ry between surgery categories, therefore p</w:t>
      </w:r>
      <w:r w:rsidRPr="008E68BA">
        <w:rPr>
          <w:rFonts w:ascii="Arial" w:hAnsi="Arial" w:cs="Arial"/>
        </w:rPr>
        <w:t>atient risk factors and existing co-morbidities require consideration when reviewing all cases. The impact of COVID-19 pandemic upon NHS services should also be reflected upon when comparing current SSI rates with those prior to 2020.</w:t>
      </w:r>
    </w:p>
    <w:p w14:paraId="12B2F41E" w14:textId="77777777" w:rsidR="006050B9" w:rsidRPr="008E68BA" w:rsidRDefault="006050B9" w:rsidP="008E68BA">
      <w:pPr>
        <w:ind w:right="141"/>
        <w:rPr>
          <w:rFonts w:ascii="Arial" w:hAnsi="Arial" w:cs="Arial"/>
        </w:rPr>
      </w:pPr>
    </w:p>
    <w:p w14:paraId="764BE67B" w14:textId="0ACF920E" w:rsidR="006050B9" w:rsidRPr="008E68BA" w:rsidRDefault="006050B9" w:rsidP="008E68BA">
      <w:pPr>
        <w:ind w:right="141"/>
        <w:rPr>
          <w:rFonts w:ascii="Arial" w:hAnsi="Arial" w:cs="Arial"/>
          <w:b/>
          <w:u w:val="single"/>
        </w:rPr>
      </w:pPr>
      <w:r w:rsidRPr="008E68BA">
        <w:rPr>
          <w:rFonts w:ascii="Arial" w:hAnsi="Arial" w:cs="Arial"/>
          <w:b/>
          <w:u w:val="single"/>
        </w:rPr>
        <w:t>Mandatory Nati</w:t>
      </w:r>
      <w:r w:rsidR="006E302F" w:rsidRPr="008E68BA">
        <w:rPr>
          <w:rFonts w:ascii="Arial" w:hAnsi="Arial" w:cs="Arial"/>
          <w:b/>
          <w:u w:val="single"/>
        </w:rPr>
        <w:t>onal Surveillance Procedures (</w:t>
      </w:r>
      <w:r w:rsidRPr="008E68BA">
        <w:rPr>
          <w:rFonts w:ascii="Arial" w:hAnsi="Arial" w:cs="Arial"/>
          <w:b/>
          <w:u w:val="single"/>
        </w:rPr>
        <w:t>reported to ARHAI</w:t>
      </w:r>
      <w:r w:rsidR="006E302F" w:rsidRPr="008E68BA">
        <w:rPr>
          <w:rFonts w:ascii="Arial" w:hAnsi="Arial" w:cs="Arial"/>
          <w:b/>
          <w:u w:val="single"/>
        </w:rPr>
        <w:t>)</w:t>
      </w:r>
      <w:r w:rsidRPr="008E68BA">
        <w:rPr>
          <w:rFonts w:ascii="Arial" w:hAnsi="Arial" w:cs="Arial"/>
          <w:b/>
          <w:u w:val="single"/>
        </w:rPr>
        <w:t xml:space="preserve"> </w:t>
      </w:r>
    </w:p>
    <w:p w14:paraId="1C573033" w14:textId="77777777" w:rsidR="006050B9" w:rsidRPr="008E68BA" w:rsidRDefault="006050B9" w:rsidP="008E68BA">
      <w:pPr>
        <w:ind w:right="141"/>
        <w:rPr>
          <w:rFonts w:ascii="Arial" w:hAnsi="Arial" w:cs="Arial"/>
        </w:rPr>
      </w:pPr>
    </w:p>
    <w:p w14:paraId="57E0E0BA" w14:textId="2A062A33" w:rsidR="006050B9" w:rsidRPr="008E68BA" w:rsidRDefault="006050B9" w:rsidP="008E68BA">
      <w:pPr>
        <w:pStyle w:val="ListParagraph"/>
        <w:numPr>
          <w:ilvl w:val="0"/>
          <w:numId w:val="38"/>
        </w:numPr>
        <w:ind w:right="141"/>
        <w:rPr>
          <w:rFonts w:ascii="Arial" w:hAnsi="Arial" w:cs="Arial"/>
          <w:b/>
        </w:rPr>
      </w:pPr>
      <w:r w:rsidRPr="008E68BA">
        <w:rPr>
          <w:rFonts w:ascii="Arial" w:hAnsi="Arial" w:cs="Arial"/>
        </w:rPr>
        <w:t xml:space="preserve">Case numbers remain within control limits for </w:t>
      </w:r>
      <w:r w:rsidRPr="008E68BA">
        <w:rPr>
          <w:rFonts w:ascii="Arial" w:hAnsi="Arial" w:cs="Arial"/>
          <w:b/>
        </w:rPr>
        <w:t>Caesarean Section</w:t>
      </w:r>
      <w:r w:rsidRPr="008E68BA">
        <w:rPr>
          <w:rFonts w:ascii="Arial" w:hAnsi="Arial" w:cs="Arial"/>
        </w:rPr>
        <w:t xml:space="preserve">, </w:t>
      </w:r>
      <w:r w:rsidRPr="008E68BA">
        <w:rPr>
          <w:rFonts w:ascii="Arial" w:hAnsi="Arial" w:cs="Arial"/>
          <w:b/>
        </w:rPr>
        <w:t>Hip Arthroplasty</w:t>
      </w:r>
      <w:r w:rsidRPr="008E68BA">
        <w:rPr>
          <w:rFonts w:ascii="Arial" w:hAnsi="Arial" w:cs="Arial"/>
        </w:rPr>
        <w:t xml:space="preserve">, </w:t>
      </w:r>
      <w:r w:rsidRPr="008E68BA">
        <w:rPr>
          <w:rFonts w:ascii="Arial" w:hAnsi="Arial" w:cs="Arial"/>
          <w:b/>
        </w:rPr>
        <w:t>Knee Arthroplasty</w:t>
      </w:r>
      <w:r w:rsidRPr="008E68BA">
        <w:rPr>
          <w:rFonts w:ascii="Arial" w:hAnsi="Arial" w:cs="Arial"/>
        </w:rPr>
        <w:t>,</w:t>
      </w:r>
      <w:r w:rsidRPr="008E68BA">
        <w:rPr>
          <w:rFonts w:ascii="Arial" w:hAnsi="Arial" w:cs="Arial"/>
          <w:b/>
        </w:rPr>
        <w:t xml:space="preserve"> Large Bowel Surgery </w:t>
      </w:r>
      <w:r w:rsidRPr="008E68BA">
        <w:rPr>
          <w:rFonts w:ascii="Arial" w:hAnsi="Arial" w:cs="Arial"/>
        </w:rPr>
        <w:t>and</w:t>
      </w:r>
      <w:r w:rsidRPr="008E68BA">
        <w:rPr>
          <w:rFonts w:ascii="Arial" w:hAnsi="Arial" w:cs="Arial"/>
          <w:b/>
        </w:rPr>
        <w:t xml:space="preserve"> Major Vascular. </w:t>
      </w:r>
    </w:p>
    <w:p w14:paraId="369789ED" w14:textId="77777777" w:rsidR="006050B9" w:rsidRPr="008E68BA" w:rsidRDefault="006050B9" w:rsidP="008E68BA">
      <w:pPr>
        <w:ind w:right="141"/>
        <w:rPr>
          <w:rFonts w:ascii="Arial" w:hAnsi="Arial" w:cs="Arial"/>
        </w:rPr>
      </w:pPr>
    </w:p>
    <w:p w14:paraId="44304066" w14:textId="2EF6368D" w:rsidR="006050B9" w:rsidRPr="008E68BA" w:rsidRDefault="006050B9" w:rsidP="008E68BA">
      <w:pPr>
        <w:ind w:right="141"/>
        <w:rPr>
          <w:rFonts w:ascii="Arial" w:hAnsi="Arial" w:cs="Arial"/>
          <w:b/>
          <w:u w:val="single"/>
        </w:rPr>
      </w:pPr>
      <w:r w:rsidRPr="008E68BA">
        <w:rPr>
          <w:rFonts w:ascii="Arial" w:hAnsi="Arial" w:cs="Arial"/>
          <w:b/>
          <w:u w:val="single"/>
        </w:rPr>
        <w:t xml:space="preserve">Voluntary Surveillance Procedures – GGC </w:t>
      </w:r>
    </w:p>
    <w:p w14:paraId="204CA3BF" w14:textId="5822D177" w:rsidR="006050B9" w:rsidRPr="008E68BA" w:rsidRDefault="006050B9" w:rsidP="008E68BA">
      <w:pPr>
        <w:pStyle w:val="ListParagraph"/>
        <w:numPr>
          <w:ilvl w:val="0"/>
          <w:numId w:val="38"/>
        </w:numPr>
        <w:ind w:right="141"/>
        <w:rPr>
          <w:rFonts w:ascii="Arial" w:hAnsi="Arial" w:cs="Arial"/>
          <w:b/>
        </w:rPr>
      </w:pPr>
      <w:r w:rsidRPr="008E68BA">
        <w:rPr>
          <w:rFonts w:ascii="Arial" w:hAnsi="Arial" w:cs="Arial"/>
        </w:rPr>
        <w:t>Case number</w:t>
      </w:r>
      <w:r w:rsidR="006E302F" w:rsidRPr="008E68BA">
        <w:rPr>
          <w:rFonts w:ascii="Arial" w:hAnsi="Arial" w:cs="Arial"/>
        </w:rPr>
        <w:t>s</w:t>
      </w:r>
      <w:r w:rsidRPr="008E68BA">
        <w:rPr>
          <w:rFonts w:ascii="Arial" w:hAnsi="Arial" w:cs="Arial"/>
        </w:rPr>
        <w:t xml:space="preserve"> remain within control limits for </w:t>
      </w:r>
      <w:r w:rsidRPr="008E68BA">
        <w:rPr>
          <w:rFonts w:ascii="Arial" w:hAnsi="Arial" w:cs="Arial"/>
          <w:b/>
        </w:rPr>
        <w:t>Repair of NOF</w:t>
      </w:r>
      <w:r w:rsidRPr="008E68BA">
        <w:rPr>
          <w:rFonts w:ascii="Arial" w:hAnsi="Arial" w:cs="Arial"/>
        </w:rPr>
        <w:t>,</w:t>
      </w:r>
      <w:r w:rsidRPr="008E68BA">
        <w:rPr>
          <w:rFonts w:ascii="Arial" w:hAnsi="Arial" w:cs="Arial"/>
          <w:b/>
        </w:rPr>
        <w:t xml:space="preserve"> Cranial Surgery</w:t>
      </w:r>
      <w:r w:rsidRPr="008E68BA">
        <w:rPr>
          <w:rFonts w:ascii="Arial" w:hAnsi="Arial" w:cs="Arial"/>
        </w:rPr>
        <w:t xml:space="preserve"> and </w:t>
      </w:r>
      <w:r w:rsidRPr="008E68BA">
        <w:rPr>
          <w:rFonts w:ascii="Arial" w:hAnsi="Arial" w:cs="Arial"/>
          <w:b/>
        </w:rPr>
        <w:t xml:space="preserve">Spinal Surgery – INS only. </w:t>
      </w:r>
    </w:p>
    <w:p w14:paraId="4064E22E" w14:textId="3732A789" w:rsidR="006050B9" w:rsidRPr="008E68BA" w:rsidRDefault="006050B9" w:rsidP="008E68BA">
      <w:pPr>
        <w:pStyle w:val="ListParagraph"/>
        <w:numPr>
          <w:ilvl w:val="0"/>
          <w:numId w:val="38"/>
        </w:numPr>
        <w:ind w:right="141"/>
        <w:rPr>
          <w:rFonts w:ascii="Arial" w:hAnsi="Arial" w:cs="Arial"/>
        </w:rPr>
      </w:pPr>
      <w:r w:rsidRPr="008E68BA">
        <w:rPr>
          <w:rFonts w:ascii="Arial" w:hAnsi="Arial" w:cs="Arial"/>
          <w:b/>
        </w:rPr>
        <w:t>Free flap – OMFS Surgery:</w:t>
      </w:r>
      <w:r w:rsidRPr="008E68BA">
        <w:rPr>
          <w:rFonts w:ascii="Arial" w:hAnsi="Arial" w:cs="Arial"/>
        </w:rPr>
        <w:t xml:space="preserve"> </w:t>
      </w:r>
      <w:r w:rsidRPr="008E68BA">
        <w:rPr>
          <w:rFonts w:ascii="Arial" w:eastAsia="Calibri" w:hAnsi="Arial" w:cs="Arial"/>
          <w:spacing w:val="-2"/>
          <w:lang w:eastAsia="en-US"/>
        </w:rPr>
        <w:t>SSI surveillance of free flap donor sites, e.g. arm</w:t>
      </w:r>
      <w:r w:rsidRPr="008E68BA">
        <w:rPr>
          <w:rFonts w:ascii="Arial" w:eastAsia="Calibri" w:hAnsi="Arial" w:cs="Arial"/>
          <w:lang w:eastAsia="en-US"/>
        </w:rPr>
        <w:t xml:space="preserve"> or leg for major maxillofacial reconstructive surgery has been undertaken at the QEUH site since November 2016.</w:t>
      </w:r>
    </w:p>
    <w:p w14:paraId="7945E5A9" w14:textId="77777777" w:rsidR="006050B9" w:rsidRPr="008E68BA" w:rsidRDefault="006050B9" w:rsidP="008E68BA">
      <w:pPr>
        <w:ind w:left="34" w:right="175"/>
        <w:rPr>
          <w:rFonts w:ascii="Arial" w:eastAsia="Calibri" w:hAnsi="Arial" w:cs="Arial"/>
          <w:lang w:eastAsia="en-US"/>
        </w:rPr>
      </w:pPr>
    </w:p>
    <w:p w14:paraId="09887444" w14:textId="77777777" w:rsidR="006050B9" w:rsidRPr="008E68BA" w:rsidRDefault="006050B9" w:rsidP="008E68BA">
      <w:pPr>
        <w:ind w:left="34" w:right="175"/>
        <w:rPr>
          <w:rFonts w:ascii="Arial" w:eastAsia="Calibri" w:hAnsi="Arial" w:cs="Arial"/>
          <w:lang w:eastAsia="en-US"/>
        </w:rPr>
      </w:pPr>
      <w:r w:rsidRPr="008E68BA">
        <w:rPr>
          <w:rFonts w:ascii="Arial" w:eastAsia="Calibri" w:hAnsi="Arial" w:cs="Arial"/>
          <w:lang w:eastAsia="en-US"/>
        </w:rPr>
        <w:lastRenderedPageBreak/>
        <w:t>There have been zero SSI detected (to day 30 re-admission) for 25 consecutive months in this innovative surveillance programme.</w:t>
      </w:r>
    </w:p>
    <w:p w14:paraId="1848E9E4" w14:textId="10B13A30" w:rsidR="006050B9" w:rsidRPr="008E68BA" w:rsidRDefault="006050B9" w:rsidP="008E68BA">
      <w:pPr>
        <w:pStyle w:val="ListParagraph"/>
        <w:ind w:right="141"/>
        <w:rPr>
          <w:rFonts w:ascii="Arial" w:hAnsi="Arial" w:cs="Arial"/>
        </w:rPr>
      </w:pPr>
    </w:p>
    <w:p w14:paraId="37CFB310" w14:textId="77777777" w:rsidR="000B3C05" w:rsidRPr="008E68BA" w:rsidRDefault="000B3C05" w:rsidP="008E68BA">
      <w:pPr>
        <w:ind w:right="142"/>
        <w:rPr>
          <w:rFonts w:ascii="Arial" w:hAnsi="Arial" w:cs="Arial"/>
        </w:rPr>
      </w:pPr>
    </w:p>
    <w:p w14:paraId="3E8116DA" w14:textId="77777777" w:rsidR="007B5DCE" w:rsidRPr="008E68BA" w:rsidRDefault="007B5DCE" w:rsidP="008E68BA">
      <w:pPr>
        <w:ind w:right="142"/>
        <w:rPr>
          <w:rFonts w:ascii="Arial" w:hAnsi="Arial" w:cs="Arial"/>
          <w:b/>
        </w:rPr>
      </w:pPr>
      <w:proofErr w:type="spellStart"/>
      <w:r w:rsidRPr="008E68BA">
        <w:rPr>
          <w:rFonts w:ascii="Arial" w:hAnsi="Arial" w:cs="Arial"/>
          <w:b/>
        </w:rPr>
        <w:t>Meticillin</w:t>
      </w:r>
      <w:proofErr w:type="spellEnd"/>
      <w:r w:rsidRPr="008E68BA">
        <w:rPr>
          <w:rFonts w:ascii="Arial" w:hAnsi="Arial" w:cs="Arial"/>
          <w:b/>
        </w:rPr>
        <w:t xml:space="preserve"> resistant </w:t>
      </w:r>
      <w:r w:rsidRPr="008E68BA">
        <w:rPr>
          <w:rFonts w:ascii="Arial" w:hAnsi="Arial" w:cs="Arial"/>
          <w:b/>
          <w:i/>
        </w:rPr>
        <w:t>Staphylococcus aureus</w:t>
      </w:r>
      <w:r w:rsidRPr="008E68BA">
        <w:rPr>
          <w:rFonts w:ascii="Arial" w:hAnsi="Arial" w:cs="Arial"/>
          <w:b/>
        </w:rPr>
        <w:t xml:space="preserve"> (MRSA) </w:t>
      </w:r>
      <w:r w:rsidR="006170C4" w:rsidRPr="008E68BA">
        <w:rPr>
          <w:rFonts w:ascii="Arial" w:hAnsi="Arial" w:cs="Arial"/>
          <w:b/>
        </w:rPr>
        <w:t>and</w:t>
      </w:r>
      <w:r w:rsidRPr="008E68BA">
        <w:rPr>
          <w:rFonts w:ascii="Arial" w:hAnsi="Arial" w:cs="Arial"/>
          <w:b/>
        </w:rPr>
        <w:t xml:space="preserve"> </w:t>
      </w:r>
      <w:proofErr w:type="spellStart"/>
      <w:r w:rsidRPr="008E68BA">
        <w:rPr>
          <w:rFonts w:ascii="Arial" w:hAnsi="Arial" w:cs="Arial"/>
          <w:b/>
          <w:i/>
        </w:rPr>
        <w:t>Clostridioides</w:t>
      </w:r>
      <w:proofErr w:type="spellEnd"/>
      <w:r w:rsidRPr="008E68BA">
        <w:rPr>
          <w:rFonts w:ascii="Arial" w:hAnsi="Arial" w:cs="Arial"/>
          <w:b/>
          <w:i/>
        </w:rPr>
        <w:t xml:space="preserve"> difficile</w:t>
      </w:r>
      <w:r w:rsidRPr="008E68BA">
        <w:rPr>
          <w:rFonts w:ascii="Arial" w:hAnsi="Arial" w:cs="Arial"/>
          <w:b/>
        </w:rPr>
        <w:t xml:space="preserve"> recorded deaths</w:t>
      </w:r>
    </w:p>
    <w:p w14:paraId="13E01333" w14:textId="77777777" w:rsidR="00371A70" w:rsidRPr="008E68BA" w:rsidRDefault="00371A70" w:rsidP="008E68BA">
      <w:pPr>
        <w:ind w:right="141"/>
        <w:rPr>
          <w:rFonts w:ascii="Arial" w:hAnsi="Arial" w:cs="Arial"/>
        </w:rPr>
      </w:pPr>
    </w:p>
    <w:p w14:paraId="79567505" w14:textId="77777777" w:rsidR="007B5DCE" w:rsidRPr="008E68BA" w:rsidRDefault="007B5DCE" w:rsidP="008E68BA">
      <w:pPr>
        <w:ind w:right="141"/>
        <w:rPr>
          <w:rFonts w:ascii="Arial" w:hAnsi="Arial" w:cs="Arial"/>
        </w:rPr>
      </w:pPr>
      <w:r w:rsidRPr="008E68BA">
        <w:rPr>
          <w:rFonts w:ascii="Arial" w:hAnsi="Arial" w:cs="Arial"/>
        </w:rPr>
        <w:t>The National Records of Scotland monitor an</w:t>
      </w:r>
      <w:r w:rsidR="00270378" w:rsidRPr="008E68BA">
        <w:rPr>
          <w:rFonts w:ascii="Arial" w:hAnsi="Arial" w:cs="Arial"/>
        </w:rPr>
        <w:t xml:space="preserve">d report on a variety of death causes </w:t>
      </w:r>
      <w:r w:rsidRPr="008E68BA">
        <w:rPr>
          <w:rFonts w:ascii="Arial" w:hAnsi="Arial" w:cs="Arial"/>
        </w:rPr>
        <w:t>recorded on the death certificate.  Two organisms are monitored and reported</w:t>
      </w:r>
      <w:r w:rsidR="006170C4" w:rsidRPr="008E68BA">
        <w:rPr>
          <w:rFonts w:ascii="Arial" w:hAnsi="Arial" w:cs="Arial"/>
        </w:rPr>
        <w:t>;</w:t>
      </w:r>
      <w:r w:rsidRPr="008E68BA">
        <w:rPr>
          <w:rFonts w:ascii="Arial" w:hAnsi="Arial" w:cs="Arial"/>
        </w:rPr>
        <w:t xml:space="preserve"> MRSA and </w:t>
      </w:r>
      <w:r w:rsidRPr="008E68BA">
        <w:rPr>
          <w:rFonts w:ascii="Arial" w:hAnsi="Arial" w:cs="Arial"/>
          <w:i/>
        </w:rPr>
        <w:t>C. difficile</w:t>
      </w:r>
      <w:r w:rsidRPr="008E68BA">
        <w:rPr>
          <w:rFonts w:ascii="Arial" w:hAnsi="Arial" w:cs="Arial"/>
        </w:rPr>
        <w:t xml:space="preserve">.  Please click on the link for further information: </w:t>
      </w:r>
    </w:p>
    <w:p w14:paraId="457425EF" w14:textId="77777777" w:rsidR="00371A70" w:rsidRPr="008E68BA" w:rsidRDefault="00371A70" w:rsidP="008E68BA">
      <w:pPr>
        <w:ind w:right="141"/>
        <w:rPr>
          <w:rFonts w:ascii="Arial" w:hAnsi="Arial" w:cs="Arial"/>
        </w:rPr>
      </w:pPr>
    </w:p>
    <w:p w14:paraId="04D43A21" w14:textId="77777777" w:rsidR="007B5DCE" w:rsidRPr="008E68BA" w:rsidRDefault="008E68BA" w:rsidP="008E68BA">
      <w:pPr>
        <w:ind w:right="141"/>
        <w:rPr>
          <w:rFonts w:ascii="Arial" w:hAnsi="Arial" w:cs="Arial"/>
        </w:rPr>
      </w:pPr>
      <w:hyperlink r:id="rId12" w:history="1">
        <w:r w:rsidR="007B5DCE" w:rsidRPr="008E68BA">
          <w:rPr>
            <w:rFonts w:ascii="Arial" w:hAnsi="Arial" w:cs="Arial"/>
            <w:b/>
            <w:color w:val="0563C1"/>
            <w:u w:val="single"/>
          </w:rPr>
          <w:t>https://www.nrscotland.gov.uk/statistics-and-data/statistics/statistics-by-theme/vital-events/deaths</w:t>
        </w:r>
      </w:hyperlink>
    </w:p>
    <w:p w14:paraId="5CC6BA76" w14:textId="77777777" w:rsidR="007B5DCE" w:rsidRPr="008E68BA" w:rsidRDefault="007B5DCE" w:rsidP="008E68BA">
      <w:pPr>
        <w:ind w:right="141"/>
        <w:rPr>
          <w:rFonts w:ascii="Arial" w:hAnsi="Arial" w:cs="Arial"/>
        </w:rPr>
      </w:pPr>
    </w:p>
    <w:p w14:paraId="4EEC1CBB" w14:textId="579D7BCA" w:rsidR="00863505" w:rsidRPr="008E68BA" w:rsidRDefault="007B5DCE" w:rsidP="008E68BA">
      <w:pPr>
        <w:ind w:right="141"/>
        <w:rPr>
          <w:rFonts w:ascii="Arial" w:hAnsi="Arial" w:cs="Arial"/>
        </w:rPr>
      </w:pPr>
      <w:r w:rsidRPr="008E68BA">
        <w:rPr>
          <w:rFonts w:ascii="Arial" w:hAnsi="Arial" w:cs="Arial"/>
        </w:rPr>
        <w:t>There w</w:t>
      </w:r>
      <w:r w:rsidR="00805411" w:rsidRPr="008E68BA">
        <w:rPr>
          <w:rFonts w:ascii="Arial" w:hAnsi="Arial" w:cs="Arial"/>
        </w:rPr>
        <w:t>ere</w:t>
      </w:r>
      <w:r w:rsidRPr="008E68BA">
        <w:rPr>
          <w:rFonts w:ascii="Arial" w:hAnsi="Arial" w:cs="Arial"/>
        </w:rPr>
        <w:t xml:space="preserve"> </w:t>
      </w:r>
      <w:r w:rsidR="000B29A1" w:rsidRPr="008E68BA">
        <w:rPr>
          <w:rFonts w:ascii="Arial" w:hAnsi="Arial" w:cs="Arial"/>
        </w:rPr>
        <w:t>three</w:t>
      </w:r>
      <w:r w:rsidRPr="008E68BA">
        <w:rPr>
          <w:rFonts w:ascii="Arial" w:hAnsi="Arial" w:cs="Arial"/>
        </w:rPr>
        <w:t xml:space="preserve"> death</w:t>
      </w:r>
      <w:r w:rsidR="00805411" w:rsidRPr="008E68BA">
        <w:rPr>
          <w:rFonts w:ascii="Arial" w:hAnsi="Arial" w:cs="Arial"/>
        </w:rPr>
        <w:t>s</w:t>
      </w:r>
      <w:r w:rsidRPr="008E68BA">
        <w:rPr>
          <w:rFonts w:ascii="Arial" w:hAnsi="Arial" w:cs="Arial"/>
        </w:rPr>
        <w:t xml:space="preserve"> in </w:t>
      </w:r>
      <w:r w:rsidR="00805411" w:rsidRPr="008E68BA">
        <w:rPr>
          <w:rFonts w:ascii="Arial" w:hAnsi="Arial" w:cs="Arial"/>
        </w:rPr>
        <w:t>September</w:t>
      </w:r>
      <w:r w:rsidRPr="008E68BA">
        <w:rPr>
          <w:rFonts w:ascii="Arial" w:hAnsi="Arial" w:cs="Arial"/>
        </w:rPr>
        <w:t xml:space="preserve"> 2021 </w:t>
      </w:r>
      <w:r w:rsidR="00371A70" w:rsidRPr="008E68BA">
        <w:rPr>
          <w:rFonts w:ascii="Arial" w:hAnsi="Arial" w:cs="Arial"/>
        </w:rPr>
        <w:t xml:space="preserve">and two in October 2021 </w:t>
      </w:r>
      <w:r w:rsidRPr="008E68BA">
        <w:rPr>
          <w:rFonts w:ascii="Arial" w:hAnsi="Arial" w:cs="Arial"/>
        </w:rPr>
        <w:t xml:space="preserve">where hospital acquired </w:t>
      </w:r>
      <w:proofErr w:type="spellStart"/>
      <w:r w:rsidRPr="008E68BA">
        <w:rPr>
          <w:rFonts w:ascii="Arial" w:hAnsi="Arial" w:cs="Arial"/>
          <w:i/>
        </w:rPr>
        <w:t>Clostridioides</w:t>
      </w:r>
      <w:proofErr w:type="spellEnd"/>
      <w:r w:rsidRPr="008E68BA">
        <w:rPr>
          <w:rFonts w:ascii="Arial" w:hAnsi="Arial" w:cs="Arial"/>
          <w:i/>
        </w:rPr>
        <w:t xml:space="preserve"> difficile</w:t>
      </w:r>
      <w:r w:rsidRPr="008E68BA">
        <w:rPr>
          <w:rFonts w:ascii="Arial" w:hAnsi="Arial" w:cs="Arial"/>
        </w:rPr>
        <w:t xml:space="preserve"> was rec</w:t>
      </w:r>
      <w:r w:rsidR="00B16285" w:rsidRPr="008E68BA">
        <w:rPr>
          <w:rFonts w:ascii="Arial" w:hAnsi="Arial" w:cs="Arial"/>
        </w:rPr>
        <w:t xml:space="preserve">orded on the death certificate. </w:t>
      </w:r>
      <w:r w:rsidRPr="008E68BA">
        <w:rPr>
          <w:rFonts w:ascii="Arial" w:hAnsi="Arial" w:cs="Arial"/>
        </w:rPr>
        <w:t xml:space="preserve"> </w:t>
      </w:r>
      <w:r w:rsidR="00EC548A" w:rsidRPr="008E68BA">
        <w:rPr>
          <w:rFonts w:ascii="Arial" w:hAnsi="Arial" w:cs="Arial"/>
        </w:rPr>
        <w:t xml:space="preserve">These were </w:t>
      </w:r>
      <w:r w:rsidR="00331257" w:rsidRPr="008E68BA">
        <w:rPr>
          <w:rFonts w:ascii="Arial" w:hAnsi="Arial" w:cs="Arial"/>
        </w:rPr>
        <w:t xml:space="preserve">considered to be </w:t>
      </w:r>
      <w:r w:rsidR="00EC548A" w:rsidRPr="008E68BA">
        <w:rPr>
          <w:rFonts w:ascii="Arial" w:hAnsi="Arial" w:cs="Arial"/>
        </w:rPr>
        <w:t xml:space="preserve">antibiotic associated and not due to cross infection. </w:t>
      </w:r>
      <w:r w:rsidRPr="008E68BA">
        <w:rPr>
          <w:rFonts w:ascii="Arial" w:hAnsi="Arial" w:cs="Arial"/>
        </w:rPr>
        <w:t xml:space="preserve">Datix </w:t>
      </w:r>
      <w:r w:rsidR="00371A70" w:rsidRPr="008E68BA">
        <w:rPr>
          <w:rFonts w:ascii="Arial" w:hAnsi="Arial" w:cs="Arial"/>
        </w:rPr>
        <w:t xml:space="preserve">incident reports </w:t>
      </w:r>
      <w:r w:rsidRPr="008E68BA">
        <w:rPr>
          <w:rFonts w:ascii="Arial" w:hAnsi="Arial" w:cs="Arial"/>
        </w:rPr>
        <w:t>w</w:t>
      </w:r>
      <w:r w:rsidR="00805411" w:rsidRPr="008E68BA">
        <w:rPr>
          <w:rFonts w:ascii="Arial" w:hAnsi="Arial" w:cs="Arial"/>
        </w:rPr>
        <w:t>ere</w:t>
      </w:r>
      <w:r w:rsidRPr="008E68BA">
        <w:rPr>
          <w:rFonts w:ascii="Arial" w:hAnsi="Arial" w:cs="Arial"/>
        </w:rPr>
        <w:t xml:space="preserve"> raised and the clinical team</w:t>
      </w:r>
      <w:r w:rsidR="00805411" w:rsidRPr="008E68BA">
        <w:rPr>
          <w:rFonts w:ascii="Arial" w:hAnsi="Arial" w:cs="Arial"/>
        </w:rPr>
        <w:t>s</w:t>
      </w:r>
      <w:r w:rsidRPr="008E68BA">
        <w:rPr>
          <w:rFonts w:ascii="Arial" w:hAnsi="Arial" w:cs="Arial"/>
        </w:rPr>
        <w:t xml:space="preserve"> w</w:t>
      </w:r>
      <w:r w:rsidR="00270378" w:rsidRPr="008E68BA">
        <w:rPr>
          <w:rFonts w:ascii="Arial" w:hAnsi="Arial" w:cs="Arial"/>
        </w:rPr>
        <w:t>ere</w:t>
      </w:r>
      <w:r w:rsidRPr="008E68BA">
        <w:rPr>
          <w:rFonts w:ascii="Arial" w:hAnsi="Arial" w:cs="Arial"/>
        </w:rPr>
        <w:t xml:space="preserve"> asked</w:t>
      </w:r>
      <w:r w:rsidR="00805411" w:rsidRPr="008E68BA">
        <w:rPr>
          <w:rFonts w:ascii="Arial" w:hAnsi="Arial" w:cs="Arial"/>
        </w:rPr>
        <w:t xml:space="preserve"> to complete clinical</w:t>
      </w:r>
      <w:r w:rsidR="00863505" w:rsidRPr="008E68BA">
        <w:rPr>
          <w:rFonts w:ascii="Arial" w:hAnsi="Arial" w:cs="Arial"/>
        </w:rPr>
        <w:t xml:space="preserve"> review</w:t>
      </w:r>
      <w:r w:rsidR="00805411" w:rsidRPr="008E68BA">
        <w:rPr>
          <w:rFonts w:ascii="Arial" w:hAnsi="Arial" w:cs="Arial"/>
        </w:rPr>
        <w:t>s</w:t>
      </w:r>
      <w:r w:rsidRPr="008E68BA">
        <w:rPr>
          <w:rFonts w:ascii="Arial" w:hAnsi="Arial" w:cs="Arial"/>
        </w:rPr>
        <w:t xml:space="preserve">.  </w:t>
      </w:r>
    </w:p>
    <w:p w14:paraId="5316FFEF" w14:textId="77777777" w:rsidR="00B16285" w:rsidRPr="008E68BA" w:rsidRDefault="00B16285" w:rsidP="008E68BA">
      <w:pPr>
        <w:ind w:right="141"/>
        <w:rPr>
          <w:rFonts w:ascii="Arial" w:hAnsi="Arial" w:cs="Arial"/>
        </w:rPr>
      </w:pPr>
    </w:p>
    <w:p w14:paraId="34655109" w14:textId="77777777" w:rsidR="00991F47" w:rsidRPr="008E68BA" w:rsidRDefault="008E68BA" w:rsidP="008E68BA">
      <w:pPr>
        <w:ind w:right="141"/>
        <w:rPr>
          <w:rFonts w:ascii="Arial" w:hAnsi="Arial" w:cs="Arial"/>
        </w:rPr>
      </w:pPr>
      <w:hyperlink r:id="rId13" w:history="1">
        <w:r w:rsidR="00991F47" w:rsidRPr="008E68BA">
          <w:rPr>
            <w:rFonts w:ascii="Arial" w:hAnsi="Arial" w:cs="Arial"/>
            <w:b/>
            <w:color w:val="0563C1"/>
            <w:u w:val="single"/>
          </w:rPr>
          <w:t>https://www.nrscotland.gov.uk/statistics-and-data/statistics/statistics-by-theme/vital-events/deaths</w:t>
        </w:r>
      </w:hyperlink>
    </w:p>
    <w:p w14:paraId="2DE29E9D" w14:textId="77777777" w:rsidR="00991F47" w:rsidRPr="008E68BA" w:rsidRDefault="00991F47" w:rsidP="008E68BA">
      <w:pPr>
        <w:ind w:right="141"/>
        <w:rPr>
          <w:rFonts w:ascii="Arial" w:hAnsi="Arial" w:cs="Arial"/>
        </w:rPr>
      </w:pPr>
    </w:p>
    <w:p w14:paraId="42B0E243" w14:textId="55D7BB30" w:rsidR="007A384B" w:rsidRPr="008E68BA" w:rsidRDefault="00746A3D" w:rsidP="008E68BA">
      <w:pPr>
        <w:rPr>
          <w:rFonts w:ascii="Arial" w:hAnsi="Arial" w:cs="Arial"/>
        </w:rPr>
      </w:pPr>
      <w:r w:rsidRPr="008E68BA">
        <w:rPr>
          <w:rFonts w:ascii="Arial" w:hAnsi="Arial" w:cs="Arial"/>
        </w:rPr>
        <w:t xml:space="preserve">There were no deaths in September or October </w:t>
      </w:r>
      <w:r w:rsidR="006D764F" w:rsidRPr="008E68BA">
        <w:rPr>
          <w:rFonts w:ascii="Arial" w:hAnsi="Arial" w:cs="Arial"/>
        </w:rPr>
        <w:t>where hospital acquired MRSA was recorded on the death certificate</w:t>
      </w:r>
      <w:r w:rsidR="00270378" w:rsidRPr="008E68BA">
        <w:rPr>
          <w:rFonts w:ascii="Arial" w:hAnsi="Arial" w:cs="Arial"/>
        </w:rPr>
        <w:t>.</w:t>
      </w:r>
      <w:r w:rsidR="006D764F" w:rsidRPr="008E68BA">
        <w:rPr>
          <w:rFonts w:ascii="Arial" w:hAnsi="Arial" w:cs="Arial"/>
        </w:rPr>
        <w:t xml:space="preserve"> </w:t>
      </w:r>
    </w:p>
    <w:p w14:paraId="254264FE" w14:textId="77777777" w:rsidR="00E17234" w:rsidRPr="008E68BA" w:rsidRDefault="00E17234" w:rsidP="008E68BA">
      <w:pPr>
        <w:rPr>
          <w:rFonts w:ascii="Arial" w:hAnsi="Arial" w:cs="Arial"/>
        </w:rPr>
      </w:pPr>
    </w:p>
    <w:p w14:paraId="1F992F03" w14:textId="77777777" w:rsidR="00371A70" w:rsidRPr="008E68BA" w:rsidRDefault="00371A70" w:rsidP="008E68BA">
      <w:pPr>
        <w:rPr>
          <w:rFonts w:ascii="Arial" w:hAnsi="Arial" w:cs="Arial"/>
        </w:rPr>
      </w:pPr>
    </w:p>
    <w:p w14:paraId="0CC984CD" w14:textId="16E4F411" w:rsidR="00991F47" w:rsidRPr="008E68BA" w:rsidRDefault="00991F47" w:rsidP="008E68BA">
      <w:pPr>
        <w:rPr>
          <w:rFonts w:ascii="Arial" w:eastAsia="Calibri" w:hAnsi="Arial" w:cs="Arial"/>
          <w:b/>
          <w:bCs/>
          <w:lang w:eastAsia="en-US"/>
        </w:rPr>
      </w:pPr>
      <w:r w:rsidRPr="008E68BA">
        <w:rPr>
          <w:rFonts w:ascii="Arial" w:eastAsia="Calibri" w:hAnsi="Arial" w:cs="Arial"/>
          <w:b/>
          <w:bCs/>
          <w:lang w:eastAsia="en-US"/>
        </w:rPr>
        <w:t>Hand Hygiene Monitoring Compliance</w:t>
      </w:r>
    </w:p>
    <w:p w14:paraId="29F8680B" w14:textId="77777777" w:rsidR="00991F47" w:rsidRPr="008E68BA" w:rsidRDefault="00991F47" w:rsidP="008E68BA">
      <w:pPr>
        <w:rPr>
          <w:rFonts w:ascii="Arial" w:eastAsia="Calibri" w:hAnsi="Arial" w:cs="Arial"/>
          <w:b/>
          <w:bCs/>
          <w:lang w:eastAsia="en-US"/>
        </w:rPr>
      </w:pPr>
    </w:p>
    <w:p w14:paraId="39BC30FC" w14:textId="77777777" w:rsidR="00991F47" w:rsidRPr="008E68BA" w:rsidRDefault="00991F47" w:rsidP="008E68BA">
      <w:pPr>
        <w:rPr>
          <w:rFonts w:ascii="Arial" w:hAnsi="Arial" w:cs="Arial"/>
          <w:b/>
        </w:rPr>
      </w:pPr>
      <w:r w:rsidRPr="008E68BA">
        <w:rPr>
          <w:rFonts w:ascii="Arial" w:hAnsi="Arial" w:cs="Arial"/>
          <w:b/>
        </w:rPr>
        <w:t xml:space="preserve">NHSGGC Board </w:t>
      </w:r>
    </w:p>
    <w:p w14:paraId="03AFF5DD" w14:textId="77777777" w:rsidR="006170C4" w:rsidRPr="008E68BA" w:rsidRDefault="006170C4" w:rsidP="008E68BA">
      <w:pPr>
        <w:rPr>
          <w:rFonts w:ascii="Arial" w:hAnsi="Arial" w:cs="Arial"/>
          <w:b/>
        </w:rPr>
      </w:pPr>
    </w:p>
    <w:tbl>
      <w:tblPr>
        <w:tblW w:w="4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739"/>
        <w:gridCol w:w="739"/>
        <w:gridCol w:w="739"/>
        <w:gridCol w:w="739"/>
        <w:gridCol w:w="740"/>
        <w:gridCol w:w="740"/>
        <w:gridCol w:w="740"/>
        <w:gridCol w:w="740"/>
        <w:gridCol w:w="740"/>
        <w:gridCol w:w="740"/>
        <w:gridCol w:w="740"/>
        <w:gridCol w:w="740"/>
      </w:tblGrid>
      <w:tr w:rsidR="006F46DC" w:rsidRPr="008E68BA" w14:paraId="371D0F80" w14:textId="77777777" w:rsidTr="000D09D9">
        <w:trPr>
          <w:trHeight w:val="276"/>
          <w:jc w:val="center"/>
        </w:trPr>
        <w:tc>
          <w:tcPr>
            <w:tcW w:w="466" w:type="pct"/>
            <w:shd w:val="clear" w:color="auto" w:fill="D5DCE4" w:themeFill="text2" w:themeFillTint="33"/>
          </w:tcPr>
          <w:p w14:paraId="068A39EB" w14:textId="77777777" w:rsidR="006F46DC" w:rsidRPr="008E68BA" w:rsidRDefault="006F46DC" w:rsidP="008E68BA">
            <w:pPr>
              <w:ind w:firstLine="200"/>
              <w:rPr>
                <w:rFonts w:ascii="Arial" w:hAnsi="Arial" w:cs="Arial"/>
                <w:color w:val="000000" w:themeColor="text1"/>
              </w:rPr>
            </w:pPr>
          </w:p>
        </w:tc>
        <w:tc>
          <w:tcPr>
            <w:tcW w:w="381" w:type="pct"/>
            <w:shd w:val="clear" w:color="auto" w:fill="D5DCE4" w:themeFill="text2" w:themeFillTint="33"/>
            <w:vAlign w:val="center"/>
          </w:tcPr>
          <w:p w14:paraId="7FDCA2B1"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Nov 2020</w:t>
            </w:r>
          </w:p>
        </w:tc>
        <w:tc>
          <w:tcPr>
            <w:tcW w:w="381" w:type="pct"/>
            <w:shd w:val="clear" w:color="auto" w:fill="D5DCE4" w:themeFill="text2" w:themeFillTint="33"/>
          </w:tcPr>
          <w:p w14:paraId="4E5A5497"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Dec 2020</w:t>
            </w:r>
          </w:p>
        </w:tc>
        <w:tc>
          <w:tcPr>
            <w:tcW w:w="381" w:type="pct"/>
            <w:shd w:val="clear" w:color="auto" w:fill="D5DCE4" w:themeFill="text2" w:themeFillTint="33"/>
          </w:tcPr>
          <w:p w14:paraId="7A6BFB18"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Jan 2021</w:t>
            </w:r>
          </w:p>
        </w:tc>
        <w:tc>
          <w:tcPr>
            <w:tcW w:w="381" w:type="pct"/>
            <w:shd w:val="clear" w:color="auto" w:fill="D5DCE4" w:themeFill="text2" w:themeFillTint="33"/>
          </w:tcPr>
          <w:p w14:paraId="1B8CCA8C"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Feb 2021</w:t>
            </w:r>
          </w:p>
        </w:tc>
        <w:tc>
          <w:tcPr>
            <w:tcW w:w="381" w:type="pct"/>
            <w:shd w:val="clear" w:color="auto" w:fill="D5DCE4" w:themeFill="text2" w:themeFillTint="33"/>
          </w:tcPr>
          <w:p w14:paraId="03431609"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Mar 2021</w:t>
            </w:r>
          </w:p>
        </w:tc>
        <w:tc>
          <w:tcPr>
            <w:tcW w:w="381" w:type="pct"/>
            <w:shd w:val="clear" w:color="auto" w:fill="D5DCE4" w:themeFill="text2" w:themeFillTint="33"/>
          </w:tcPr>
          <w:p w14:paraId="3FB0FB16"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Apr 2021</w:t>
            </w:r>
          </w:p>
        </w:tc>
        <w:tc>
          <w:tcPr>
            <w:tcW w:w="380" w:type="pct"/>
            <w:shd w:val="clear" w:color="auto" w:fill="D5DCE4" w:themeFill="text2" w:themeFillTint="33"/>
          </w:tcPr>
          <w:p w14:paraId="039D4E18"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May 2021</w:t>
            </w:r>
          </w:p>
        </w:tc>
        <w:tc>
          <w:tcPr>
            <w:tcW w:w="380" w:type="pct"/>
            <w:shd w:val="clear" w:color="auto" w:fill="D5DCE4" w:themeFill="text2" w:themeFillTint="33"/>
          </w:tcPr>
          <w:p w14:paraId="44C9A3B1"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Jun 2021</w:t>
            </w:r>
          </w:p>
        </w:tc>
        <w:tc>
          <w:tcPr>
            <w:tcW w:w="375" w:type="pct"/>
            <w:shd w:val="clear" w:color="auto" w:fill="D5DCE4" w:themeFill="text2" w:themeFillTint="33"/>
          </w:tcPr>
          <w:p w14:paraId="0699A741"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July 2021</w:t>
            </w:r>
          </w:p>
        </w:tc>
        <w:tc>
          <w:tcPr>
            <w:tcW w:w="374" w:type="pct"/>
            <w:shd w:val="clear" w:color="auto" w:fill="D5DCE4" w:themeFill="text2" w:themeFillTint="33"/>
            <w:vAlign w:val="center"/>
          </w:tcPr>
          <w:p w14:paraId="4FB215F2"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Aug 2021</w:t>
            </w:r>
          </w:p>
        </w:tc>
        <w:tc>
          <w:tcPr>
            <w:tcW w:w="371" w:type="pct"/>
            <w:shd w:val="clear" w:color="auto" w:fill="D5DCE4" w:themeFill="text2" w:themeFillTint="33"/>
            <w:vAlign w:val="center"/>
          </w:tcPr>
          <w:p w14:paraId="7E00BAA1"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Sept 2021</w:t>
            </w:r>
          </w:p>
        </w:tc>
        <w:tc>
          <w:tcPr>
            <w:tcW w:w="371" w:type="pct"/>
            <w:shd w:val="clear" w:color="auto" w:fill="D5DCE4" w:themeFill="text2" w:themeFillTint="33"/>
            <w:vAlign w:val="center"/>
          </w:tcPr>
          <w:p w14:paraId="7D04AAE5" w14:textId="77777777" w:rsidR="006F46DC" w:rsidRPr="008E68BA" w:rsidRDefault="006F46DC" w:rsidP="008E68BA">
            <w:pPr>
              <w:ind w:hanging="19"/>
              <w:rPr>
                <w:rFonts w:ascii="Arial" w:hAnsi="Arial" w:cs="Arial"/>
                <w:b/>
                <w:color w:val="000000" w:themeColor="text1"/>
              </w:rPr>
            </w:pPr>
            <w:r w:rsidRPr="008E68BA">
              <w:rPr>
                <w:rFonts w:ascii="Arial" w:hAnsi="Arial" w:cs="Arial"/>
                <w:b/>
                <w:color w:val="000000" w:themeColor="text1"/>
              </w:rPr>
              <w:t>Oct 2021</w:t>
            </w:r>
          </w:p>
        </w:tc>
      </w:tr>
      <w:tr w:rsidR="006F46DC" w:rsidRPr="008E68BA" w14:paraId="35E6C933" w14:textId="77777777" w:rsidTr="00AF798D">
        <w:trPr>
          <w:trHeight w:val="205"/>
          <w:jc w:val="center"/>
        </w:trPr>
        <w:tc>
          <w:tcPr>
            <w:tcW w:w="466" w:type="pct"/>
          </w:tcPr>
          <w:p w14:paraId="70E86229" w14:textId="77777777" w:rsidR="006F46DC" w:rsidRPr="008E68BA" w:rsidRDefault="006F46DC" w:rsidP="008E68BA">
            <w:pPr>
              <w:rPr>
                <w:rFonts w:ascii="Arial" w:hAnsi="Arial" w:cs="Arial"/>
                <w:b/>
                <w:color w:val="000000" w:themeColor="text1"/>
              </w:rPr>
            </w:pPr>
            <w:r w:rsidRPr="008E68BA">
              <w:rPr>
                <w:rFonts w:ascii="Arial" w:hAnsi="Arial" w:cs="Arial"/>
                <w:b/>
                <w:color w:val="000000" w:themeColor="text1"/>
              </w:rPr>
              <w:t>Board Total</w:t>
            </w:r>
          </w:p>
        </w:tc>
        <w:tc>
          <w:tcPr>
            <w:tcW w:w="381" w:type="pct"/>
            <w:vAlign w:val="center"/>
          </w:tcPr>
          <w:p w14:paraId="1E0AB5BC"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97</w:t>
            </w:r>
          </w:p>
        </w:tc>
        <w:tc>
          <w:tcPr>
            <w:tcW w:w="381" w:type="pct"/>
            <w:vAlign w:val="center"/>
          </w:tcPr>
          <w:p w14:paraId="1BEAA412"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98</w:t>
            </w:r>
          </w:p>
        </w:tc>
        <w:tc>
          <w:tcPr>
            <w:tcW w:w="381" w:type="pct"/>
            <w:vAlign w:val="center"/>
          </w:tcPr>
          <w:p w14:paraId="13A517EA"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98</w:t>
            </w:r>
          </w:p>
        </w:tc>
        <w:tc>
          <w:tcPr>
            <w:tcW w:w="381" w:type="pct"/>
            <w:vAlign w:val="center"/>
          </w:tcPr>
          <w:p w14:paraId="3F932986"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98</w:t>
            </w:r>
          </w:p>
        </w:tc>
        <w:tc>
          <w:tcPr>
            <w:tcW w:w="381" w:type="pct"/>
            <w:vAlign w:val="center"/>
          </w:tcPr>
          <w:p w14:paraId="0BACD864"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98</w:t>
            </w:r>
          </w:p>
        </w:tc>
        <w:tc>
          <w:tcPr>
            <w:tcW w:w="381" w:type="pct"/>
            <w:vAlign w:val="center"/>
          </w:tcPr>
          <w:p w14:paraId="00F63E96"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97</w:t>
            </w:r>
          </w:p>
        </w:tc>
        <w:tc>
          <w:tcPr>
            <w:tcW w:w="380" w:type="pct"/>
            <w:vAlign w:val="center"/>
          </w:tcPr>
          <w:p w14:paraId="01CBB432"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97</w:t>
            </w:r>
          </w:p>
        </w:tc>
        <w:tc>
          <w:tcPr>
            <w:tcW w:w="380" w:type="pct"/>
            <w:vAlign w:val="center"/>
          </w:tcPr>
          <w:p w14:paraId="7ECCA260"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97</w:t>
            </w:r>
          </w:p>
        </w:tc>
        <w:tc>
          <w:tcPr>
            <w:tcW w:w="375" w:type="pct"/>
            <w:vAlign w:val="center"/>
          </w:tcPr>
          <w:p w14:paraId="0B7E3BC4"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98</w:t>
            </w:r>
          </w:p>
        </w:tc>
        <w:tc>
          <w:tcPr>
            <w:tcW w:w="374" w:type="pct"/>
            <w:vAlign w:val="center"/>
          </w:tcPr>
          <w:p w14:paraId="04C79550" w14:textId="77777777" w:rsidR="006F46DC" w:rsidRPr="008E68BA" w:rsidRDefault="006F46DC" w:rsidP="008E68BA">
            <w:pPr>
              <w:rPr>
                <w:rFonts w:ascii="Arial" w:hAnsi="Arial" w:cs="Arial"/>
                <w:color w:val="000000" w:themeColor="text1"/>
              </w:rPr>
            </w:pPr>
            <w:r w:rsidRPr="008E68BA">
              <w:rPr>
                <w:rFonts w:ascii="Arial" w:hAnsi="Arial" w:cs="Arial"/>
                <w:color w:val="000000" w:themeColor="text1"/>
              </w:rPr>
              <w:t>98</w:t>
            </w:r>
          </w:p>
        </w:tc>
        <w:tc>
          <w:tcPr>
            <w:tcW w:w="371" w:type="pct"/>
            <w:vAlign w:val="center"/>
          </w:tcPr>
          <w:p w14:paraId="77B7DFFF" w14:textId="72AD51E6" w:rsidR="006F46DC" w:rsidRPr="008E68BA" w:rsidRDefault="00AF798D" w:rsidP="008E68BA">
            <w:pPr>
              <w:rPr>
                <w:rFonts w:ascii="Arial" w:hAnsi="Arial" w:cs="Arial"/>
                <w:color w:val="000000" w:themeColor="text1"/>
              </w:rPr>
            </w:pPr>
            <w:r w:rsidRPr="008E68BA">
              <w:rPr>
                <w:rFonts w:ascii="Arial" w:hAnsi="Arial" w:cs="Arial"/>
                <w:color w:val="000000" w:themeColor="text1"/>
              </w:rPr>
              <w:t>97</w:t>
            </w:r>
          </w:p>
        </w:tc>
        <w:tc>
          <w:tcPr>
            <w:tcW w:w="371" w:type="pct"/>
            <w:vAlign w:val="center"/>
          </w:tcPr>
          <w:p w14:paraId="641933D8" w14:textId="7E2BD88A" w:rsidR="006F46DC" w:rsidRPr="008E68BA" w:rsidRDefault="00AF798D" w:rsidP="008E68BA">
            <w:pPr>
              <w:rPr>
                <w:rFonts w:ascii="Arial" w:hAnsi="Arial" w:cs="Arial"/>
                <w:color w:val="000000" w:themeColor="text1"/>
              </w:rPr>
            </w:pPr>
            <w:r w:rsidRPr="008E68BA">
              <w:rPr>
                <w:rFonts w:ascii="Arial" w:hAnsi="Arial" w:cs="Arial"/>
                <w:color w:val="000000" w:themeColor="text1"/>
              </w:rPr>
              <w:t>98</w:t>
            </w:r>
          </w:p>
        </w:tc>
      </w:tr>
    </w:tbl>
    <w:p w14:paraId="760074C7" w14:textId="77777777" w:rsidR="008E4CA9" w:rsidRPr="008E68BA" w:rsidRDefault="008E4CA9" w:rsidP="008E68BA">
      <w:pPr>
        <w:spacing w:line="360" w:lineRule="auto"/>
        <w:rPr>
          <w:rFonts w:ascii="Arial" w:eastAsia="Calibri" w:hAnsi="Arial" w:cs="Arial"/>
          <w:b/>
          <w:bCs/>
          <w:lang w:eastAsia="en-US"/>
        </w:rPr>
      </w:pPr>
    </w:p>
    <w:p w14:paraId="5035140D" w14:textId="77777777" w:rsidR="00746A3D" w:rsidRPr="008E68BA" w:rsidRDefault="00746A3D" w:rsidP="008E68BA">
      <w:pPr>
        <w:rPr>
          <w:rFonts w:ascii="Arial" w:hAnsi="Arial" w:cs="Arial"/>
          <w:b/>
          <w:iCs/>
        </w:rPr>
      </w:pPr>
    </w:p>
    <w:p w14:paraId="0BD58795" w14:textId="77777777" w:rsidR="00991F47" w:rsidRPr="008E68BA" w:rsidRDefault="00991F47" w:rsidP="008E68BA">
      <w:pPr>
        <w:rPr>
          <w:rFonts w:ascii="Arial" w:hAnsi="Arial" w:cs="Arial"/>
          <w:b/>
          <w:iCs/>
        </w:rPr>
      </w:pPr>
      <w:r w:rsidRPr="008E68BA">
        <w:rPr>
          <w:rFonts w:ascii="Arial" w:hAnsi="Arial" w:cs="Arial"/>
          <w:b/>
          <w:iCs/>
        </w:rPr>
        <w:t>Estate and Cleaning Compliance (per hospital)</w:t>
      </w:r>
    </w:p>
    <w:p w14:paraId="19BF0352" w14:textId="77777777" w:rsidR="00991F47" w:rsidRPr="008E68BA" w:rsidRDefault="00991F47" w:rsidP="008E68BA">
      <w:pPr>
        <w:rPr>
          <w:rFonts w:ascii="Arial" w:hAnsi="Arial" w:cs="Arial"/>
          <w:b/>
          <w:iCs/>
        </w:rPr>
      </w:pPr>
    </w:p>
    <w:p w14:paraId="4FEF305D" w14:textId="77777777" w:rsidR="00E131FE" w:rsidRPr="008E68BA" w:rsidRDefault="00991F47" w:rsidP="008E68BA">
      <w:pPr>
        <w:ind w:right="141"/>
        <w:rPr>
          <w:rFonts w:ascii="Arial" w:hAnsi="Arial" w:cs="Arial"/>
        </w:rPr>
      </w:pPr>
      <w:r w:rsidRPr="008E68BA">
        <w:rPr>
          <w:rFonts w:ascii="Arial" w:hAnsi="Arial" w:cs="Arial"/>
        </w:rPr>
        <w:t xml:space="preserve">The data is collected through audit by the Domestic Services Team using the Domestic Monitoring National Tool, and areas chosen within each hospital are randomly selected by the audit tool.  Any issues such as inadequate cleaning is scored appropriately and if the score is less than 80%, a re-audit is scheduled.  Estates compliance assesses whether the environment can be effectively cleaned; this can be a combination of minor non-compliances such as missing screwcaps, damaged sanitary sealant, scratches to woodwork etc.  The results of these findings are shared with Serco/Estates for repair.  Similar to the cleaning </w:t>
      </w:r>
      <w:r w:rsidR="00461DBA" w:rsidRPr="008E68BA">
        <w:rPr>
          <w:rFonts w:ascii="Arial" w:hAnsi="Arial" w:cs="Arial"/>
        </w:rPr>
        <w:t>audit, scores below 80% trigger</w:t>
      </w:r>
      <w:r w:rsidRPr="008E68BA">
        <w:rPr>
          <w:rFonts w:ascii="Arial" w:hAnsi="Arial" w:cs="Arial"/>
        </w:rPr>
        <w:t xml:space="preserve"> a re-audit.</w:t>
      </w:r>
    </w:p>
    <w:p w14:paraId="261F35E1" w14:textId="77777777" w:rsidR="00E131FE" w:rsidRPr="008E68BA" w:rsidRDefault="00E131FE" w:rsidP="008E68BA">
      <w:pPr>
        <w:rPr>
          <w:rFonts w:ascii="Arial" w:hAnsi="Arial" w:cs="Arial"/>
        </w:rPr>
      </w:pPr>
    </w:p>
    <w:p w14:paraId="544B49C5" w14:textId="55F0819A" w:rsidR="004949A1" w:rsidRPr="008E68BA" w:rsidRDefault="007F128F" w:rsidP="008E68BA">
      <w:pPr>
        <w:rPr>
          <w:rFonts w:ascii="Arial" w:hAnsi="Arial" w:cs="Arial"/>
        </w:rPr>
      </w:pPr>
      <w:r w:rsidRPr="008E68BA">
        <w:rPr>
          <w:rFonts w:ascii="Arial" w:hAnsi="Arial" w:cs="Arial"/>
        </w:rPr>
        <w:t xml:space="preserve">The Cleaning Compliance for GGC was 95.2% in September 2021 and 95.4% in October 2021. The Estate Compliance was 95.6% in September and 95.9% in October 2021 which indicates an improvement. </w:t>
      </w:r>
    </w:p>
    <w:p w14:paraId="5ABF2C07" w14:textId="77777777" w:rsidR="004949A1" w:rsidRPr="008E68BA" w:rsidRDefault="004949A1" w:rsidP="008E68BA">
      <w:pPr>
        <w:rPr>
          <w:rFonts w:ascii="Arial" w:hAnsi="Arial" w:cs="Arial"/>
        </w:rPr>
      </w:pPr>
    </w:p>
    <w:p w14:paraId="1B87E990" w14:textId="77777777" w:rsidR="008E4CA9" w:rsidRPr="008E68BA" w:rsidRDefault="008E4CA9" w:rsidP="008E68BA">
      <w:pPr>
        <w:ind w:right="283"/>
        <w:rPr>
          <w:rFonts w:ascii="Arial" w:hAnsi="Arial" w:cs="Arial"/>
          <w:b/>
        </w:rPr>
      </w:pPr>
    </w:p>
    <w:p w14:paraId="04CFCCFA" w14:textId="77777777" w:rsidR="00331257" w:rsidRPr="008E68BA" w:rsidRDefault="00331257" w:rsidP="008E68BA">
      <w:pPr>
        <w:ind w:right="283"/>
        <w:rPr>
          <w:rFonts w:ascii="Arial" w:hAnsi="Arial" w:cs="Arial"/>
          <w:b/>
        </w:rPr>
      </w:pPr>
    </w:p>
    <w:p w14:paraId="32F73404" w14:textId="77777777" w:rsidR="00331257" w:rsidRPr="008E68BA" w:rsidRDefault="00331257" w:rsidP="008E68BA">
      <w:pPr>
        <w:ind w:right="283"/>
        <w:rPr>
          <w:rFonts w:ascii="Arial" w:hAnsi="Arial" w:cs="Arial"/>
          <w:b/>
        </w:rPr>
      </w:pPr>
    </w:p>
    <w:p w14:paraId="509342D6" w14:textId="77777777" w:rsidR="00331257" w:rsidRPr="008E68BA" w:rsidRDefault="00331257" w:rsidP="008E68BA">
      <w:pPr>
        <w:ind w:right="283"/>
        <w:rPr>
          <w:rFonts w:ascii="Arial" w:hAnsi="Arial" w:cs="Arial"/>
          <w:b/>
        </w:rPr>
      </w:pPr>
    </w:p>
    <w:p w14:paraId="4817FB79" w14:textId="77777777" w:rsidR="00982140" w:rsidRPr="008E68BA" w:rsidRDefault="00982140" w:rsidP="008E68BA">
      <w:pPr>
        <w:ind w:right="283"/>
        <w:rPr>
          <w:rFonts w:ascii="Arial" w:hAnsi="Arial" w:cs="Arial"/>
          <w:b/>
        </w:rPr>
      </w:pPr>
      <w:r w:rsidRPr="008E68BA">
        <w:rPr>
          <w:rFonts w:ascii="Arial" w:hAnsi="Arial" w:cs="Arial"/>
          <w:b/>
        </w:rPr>
        <w:t xml:space="preserve">Infection Prevention and Control Quality Improvement Network </w:t>
      </w:r>
      <w:r w:rsidR="00F41131" w:rsidRPr="008E68BA">
        <w:rPr>
          <w:rFonts w:ascii="Arial" w:hAnsi="Arial" w:cs="Arial"/>
          <w:b/>
        </w:rPr>
        <w:t xml:space="preserve">(IPCQIN) </w:t>
      </w:r>
      <w:r w:rsidRPr="008E68BA">
        <w:rPr>
          <w:rFonts w:ascii="Arial" w:hAnsi="Arial" w:cs="Arial"/>
          <w:b/>
        </w:rPr>
        <w:t>Update</w:t>
      </w:r>
    </w:p>
    <w:p w14:paraId="5B1739B5" w14:textId="77777777" w:rsidR="00982140" w:rsidRPr="008E68BA" w:rsidRDefault="00982140" w:rsidP="008E68BA">
      <w:pPr>
        <w:ind w:right="283"/>
        <w:rPr>
          <w:rFonts w:ascii="Arial" w:hAnsi="Arial" w:cs="Arial"/>
          <w:b/>
          <w:bCs/>
        </w:rPr>
      </w:pPr>
    </w:p>
    <w:p w14:paraId="188E134A" w14:textId="4DFBADAC" w:rsidR="00F41131" w:rsidRPr="008E68BA" w:rsidRDefault="00982140" w:rsidP="008E68BA">
      <w:pPr>
        <w:rPr>
          <w:rFonts w:ascii="Arial" w:hAnsi="Arial" w:cs="Arial"/>
          <w:bCs/>
          <w:iCs/>
        </w:rPr>
      </w:pPr>
      <w:r w:rsidRPr="008E68BA">
        <w:rPr>
          <w:rFonts w:ascii="Arial" w:hAnsi="Arial" w:cs="Arial"/>
          <w:bCs/>
        </w:rPr>
        <w:t>The aim of the I</w:t>
      </w:r>
      <w:r w:rsidR="00F41131" w:rsidRPr="008E68BA">
        <w:rPr>
          <w:rFonts w:ascii="Arial" w:hAnsi="Arial" w:cs="Arial"/>
          <w:bCs/>
        </w:rPr>
        <w:t xml:space="preserve">PCQIN is </w:t>
      </w:r>
      <w:r w:rsidR="00F41131" w:rsidRPr="008E68BA">
        <w:rPr>
          <w:rFonts w:ascii="Arial" w:hAnsi="Arial" w:cs="Arial"/>
          <w:bCs/>
          <w:iCs/>
        </w:rPr>
        <w:t xml:space="preserve">that by April 2022, The IPCQI will create the organisational conditions to facilitate and support the reduction of preventable infections associated with healthcare delivery. The Steering Group and the Operational Group </w:t>
      </w:r>
      <w:r w:rsidR="007A0D9F" w:rsidRPr="008E68BA">
        <w:rPr>
          <w:rFonts w:ascii="Arial" w:hAnsi="Arial" w:cs="Arial"/>
          <w:bCs/>
          <w:iCs/>
        </w:rPr>
        <w:t>several</w:t>
      </w:r>
      <w:r w:rsidR="00F41131" w:rsidRPr="008E68BA">
        <w:rPr>
          <w:rFonts w:ascii="Arial" w:hAnsi="Arial" w:cs="Arial"/>
          <w:bCs/>
          <w:iCs/>
        </w:rPr>
        <w:t xml:space="preserve"> times now and the main </w:t>
      </w:r>
      <w:r w:rsidR="00461DBA" w:rsidRPr="008E68BA">
        <w:rPr>
          <w:rFonts w:ascii="Arial" w:hAnsi="Arial" w:cs="Arial"/>
          <w:bCs/>
          <w:iCs/>
        </w:rPr>
        <w:t>three</w:t>
      </w:r>
      <w:r w:rsidR="00F41131" w:rsidRPr="008E68BA">
        <w:rPr>
          <w:rFonts w:ascii="Arial" w:hAnsi="Arial" w:cs="Arial"/>
          <w:bCs/>
          <w:iCs/>
        </w:rPr>
        <w:t xml:space="preserve"> </w:t>
      </w:r>
      <w:r w:rsidR="004A0CD1" w:rsidRPr="008E68BA">
        <w:rPr>
          <w:rFonts w:ascii="Arial" w:hAnsi="Arial" w:cs="Arial"/>
          <w:bCs/>
          <w:iCs/>
        </w:rPr>
        <w:t>work streams</w:t>
      </w:r>
      <w:r w:rsidR="00F41131" w:rsidRPr="008E68BA">
        <w:rPr>
          <w:rFonts w:ascii="Arial" w:hAnsi="Arial" w:cs="Arial"/>
          <w:bCs/>
          <w:iCs/>
        </w:rPr>
        <w:t xml:space="preserve"> that support and deliver the objectives of the Operational Group have been established and have made progress. </w:t>
      </w:r>
      <w:r w:rsidR="00FF2E88" w:rsidRPr="008E68BA">
        <w:rPr>
          <w:rFonts w:ascii="Arial" w:hAnsi="Arial" w:cs="Arial"/>
          <w:bCs/>
          <w:i/>
          <w:iCs/>
        </w:rPr>
        <w:t xml:space="preserve">Quality Improvement (QI) is no longer a </w:t>
      </w:r>
      <w:r w:rsidR="00E15C13" w:rsidRPr="008E68BA">
        <w:rPr>
          <w:rFonts w:ascii="Arial" w:hAnsi="Arial" w:cs="Arial"/>
          <w:bCs/>
          <w:i/>
          <w:iCs/>
        </w:rPr>
        <w:t>work stream</w:t>
      </w:r>
      <w:r w:rsidR="00FF2E88" w:rsidRPr="008E68BA">
        <w:rPr>
          <w:rFonts w:ascii="Arial" w:hAnsi="Arial" w:cs="Arial"/>
          <w:bCs/>
          <w:i/>
          <w:iCs/>
        </w:rPr>
        <w:t xml:space="preserve"> but it will run through and support the other </w:t>
      </w:r>
      <w:r w:rsidR="00E15C13" w:rsidRPr="008E68BA">
        <w:rPr>
          <w:rFonts w:ascii="Arial" w:hAnsi="Arial" w:cs="Arial"/>
          <w:bCs/>
          <w:i/>
          <w:iCs/>
        </w:rPr>
        <w:t>work streams</w:t>
      </w:r>
      <w:r w:rsidR="00FF2E88" w:rsidRPr="008E68BA">
        <w:rPr>
          <w:rFonts w:ascii="Arial" w:hAnsi="Arial" w:cs="Arial"/>
          <w:bCs/>
          <w:i/>
          <w:iCs/>
        </w:rPr>
        <w:t xml:space="preserve">. </w:t>
      </w:r>
    </w:p>
    <w:p w14:paraId="1D86C9F0" w14:textId="77777777" w:rsidR="00461DBA" w:rsidRPr="008E68BA" w:rsidRDefault="00461DBA" w:rsidP="008E68BA">
      <w:pPr>
        <w:ind w:right="283"/>
        <w:rPr>
          <w:rFonts w:ascii="Arial" w:hAnsi="Arial" w:cs="Arial"/>
          <w:bCs/>
          <w:iCs/>
        </w:rPr>
      </w:pPr>
    </w:p>
    <w:p w14:paraId="56FDBDAC" w14:textId="77777777" w:rsidR="00F41131" w:rsidRPr="008E68BA" w:rsidRDefault="00F41131" w:rsidP="008E68BA">
      <w:pPr>
        <w:ind w:right="283"/>
        <w:rPr>
          <w:rFonts w:ascii="Arial" w:hAnsi="Arial" w:cs="Arial"/>
          <w:bCs/>
          <w:iCs/>
        </w:rPr>
      </w:pPr>
      <w:r w:rsidRPr="008E68BA">
        <w:rPr>
          <w:rFonts w:ascii="Arial" w:hAnsi="Arial" w:cs="Arial"/>
          <w:bCs/>
          <w:iCs/>
        </w:rPr>
        <w:t>The key results to date are:</w:t>
      </w:r>
    </w:p>
    <w:p w14:paraId="5F62663E" w14:textId="77777777" w:rsidR="00461DBA" w:rsidRPr="008E68BA" w:rsidRDefault="00461DBA" w:rsidP="008E68BA">
      <w:pPr>
        <w:numPr>
          <w:ilvl w:val="0"/>
          <w:numId w:val="29"/>
        </w:numPr>
        <w:ind w:left="1080"/>
        <w:contextualSpacing/>
        <w:textAlignment w:val="baseline"/>
        <w:rPr>
          <w:rFonts w:ascii="Arial" w:hAnsi="Arial" w:cs="Arial"/>
          <w:bCs/>
          <w:iCs/>
        </w:rPr>
      </w:pPr>
      <w:r w:rsidRPr="008E68BA">
        <w:rPr>
          <w:rFonts w:ascii="Arial" w:hAnsi="Arial" w:cs="Arial"/>
          <w:bCs/>
          <w:iCs/>
        </w:rPr>
        <w:t xml:space="preserve">Collaborative working and support from QI leads and clinical services.  </w:t>
      </w:r>
    </w:p>
    <w:p w14:paraId="5CF954E7" w14:textId="484089F8" w:rsidR="00461DBA" w:rsidRPr="008E68BA" w:rsidRDefault="00461DBA" w:rsidP="008E68BA">
      <w:pPr>
        <w:numPr>
          <w:ilvl w:val="0"/>
          <w:numId w:val="29"/>
        </w:numPr>
        <w:ind w:left="1080"/>
        <w:contextualSpacing/>
        <w:textAlignment w:val="baseline"/>
        <w:rPr>
          <w:rFonts w:ascii="Arial" w:hAnsi="Arial" w:cs="Arial"/>
          <w:bCs/>
          <w:iCs/>
        </w:rPr>
      </w:pPr>
      <w:r w:rsidRPr="008E68BA">
        <w:rPr>
          <w:rFonts w:ascii="Arial" w:hAnsi="Arial" w:cs="Arial"/>
          <w:bCs/>
          <w:iCs/>
        </w:rPr>
        <w:t xml:space="preserve">The first issue of a Newsletter has been shared via Core Brief. </w:t>
      </w:r>
      <w:r w:rsidR="000B3C05" w:rsidRPr="008E68BA">
        <w:rPr>
          <w:rFonts w:ascii="Arial" w:hAnsi="Arial" w:cs="Arial"/>
          <w:bCs/>
          <w:iCs/>
        </w:rPr>
        <w:t xml:space="preserve"> The second issue will be out in January 2022.</w:t>
      </w:r>
      <w:r w:rsidRPr="008E68BA">
        <w:rPr>
          <w:rFonts w:ascii="Arial" w:hAnsi="Arial" w:cs="Arial"/>
          <w:bCs/>
          <w:iCs/>
        </w:rPr>
        <w:t xml:space="preserve"> </w:t>
      </w:r>
    </w:p>
    <w:p w14:paraId="643B0FD6" w14:textId="77777777" w:rsidR="00461DBA" w:rsidRPr="008E68BA" w:rsidRDefault="00FF2E88" w:rsidP="008E68BA">
      <w:pPr>
        <w:ind w:left="1080"/>
        <w:contextualSpacing/>
        <w:textAlignment w:val="baseline"/>
        <w:rPr>
          <w:rFonts w:ascii="Arial" w:hAnsi="Arial" w:cs="Arial"/>
          <w:bCs/>
          <w:iCs/>
        </w:rPr>
      </w:pPr>
      <w:r w:rsidRPr="008E68BA">
        <w:rPr>
          <w:rFonts w:ascii="Arial" w:hAnsi="Arial" w:cs="Arial"/>
          <w:bCs/>
          <w:iCs/>
        </w:rPr>
        <w:object w:dxaOrig="1541" w:dyaOrig="997" w14:anchorId="04B3E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4" o:title=""/>
          </v:shape>
          <o:OLEObject Type="Embed" ProgID="AcroExch.Document.DC" ShapeID="_x0000_i1025" DrawAspect="Icon" ObjectID="_1701014482" r:id="rId15"/>
        </w:object>
      </w:r>
    </w:p>
    <w:p w14:paraId="48DB707D" w14:textId="77777777" w:rsidR="00461DBA" w:rsidRPr="008E68BA" w:rsidRDefault="00461DBA" w:rsidP="008E68BA">
      <w:pPr>
        <w:numPr>
          <w:ilvl w:val="0"/>
          <w:numId w:val="29"/>
        </w:numPr>
        <w:ind w:left="1080"/>
        <w:contextualSpacing/>
        <w:textAlignment w:val="baseline"/>
        <w:rPr>
          <w:rFonts w:ascii="Arial" w:hAnsi="Arial" w:cs="Arial"/>
          <w:bCs/>
          <w:iCs/>
        </w:rPr>
      </w:pPr>
      <w:r w:rsidRPr="008E68BA">
        <w:rPr>
          <w:rFonts w:ascii="Arial" w:hAnsi="Arial" w:cs="Arial"/>
          <w:bCs/>
          <w:iCs/>
        </w:rPr>
        <w:t>The vision statement has been established; “</w:t>
      </w:r>
      <w:r w:rsidRPr="008E68BA">
        <w:rPr>
          <w:rFonts w:ascii="Arial" w:hAnsi="Arial" w:cs="Arial"/>
          <w:b/>
          <w:bCs/>
          <w:i/>
          <w:iCs/>
        </w:rPr>
        <w:t>As an Improvement Network, we influence and support our staff, patients and carers to continuously improve person centred infection prevention and control practices, ensuring a safe and effective care experience”.</w:t>
      </w:r>
      <w:r w:rsidRPr="008E68BA">
        <w:rPr>
          <w:rFonts w:ascii="Arial" w:hAnsi="Arial" w:cs="Arial"/>
          <w:bCs/>
          <w:iCs/>
        </w:rPr>
        <w:t xml:space="preserve"> </w:t>
      </w:r>
    </w:p>
    <w:p w14:paraId="25774CE5" w14:textId="77777777" w:rsidR="00461DBA" w:rsidRPr="008E68BA" w:rsidRDefault="00461DBA" w:rsidP="008E68BA">
      <w:pPr>
        <w:numPr>
          <w:ilvl w:val="0"/>
          <w:numId w:val="29"/>
        </w:numPr>
        <w:ind w:left="1080"/>
        <w:contextualSpacing/>
        <w:textAlignment w:val="baseline"/>
        <w:rPr>
          <w:rFonts w:ascii="Arial" w:hAnsi="Arial" w:cs="Arial"/>
          <w:bCs/>
          <w:iCs/>
        </w:rPr>
      </w:pPr>
      <w:r w:rsidRPr="008E68BA">
        <w:rPr>
          <w:rFonts w:ascii="Arial" w:hAnsi="Arial" w:cs="Arial"/>
          <w:bCs/>
          <w:iCs/>
        </w:rPr>
        <w:t>The visual branding specific to the work of the Network has been established.</w:t>
      </w:r>
    </w:p>
    <w:p w14:paraId="29685CF9" w14:textId="77777777" w:rsidR="008E4CA9" w:rsidRPr="008E68BA" w:rsidRDefault="008E4CA9" w:rsidP="008E68BA">
      <w:pPr>
        <w:ind w:right="283"/>
        <w:rPr>
          <w:rFonts w:ascii="Arial" w:hAnsi="Arial" w:cs="Arial"/>
          <w:b/>
          <w:bCs/>
        </w:rPr>
      </w:pPr>
    </w:p>
    <w:p w14:paraId="1A51DD4B" w14:textId="77777777" w:rsidR="00E17234" w:rsidRPr="008E68BA" w:rsidRDefault="00E17234" w:rsidP="008E68BA">
      <w:pPr>
        <w:ind w:right="283"/>
        <w:rPr>
          <w:rFonts w:ascii="Arial" w:hAnsi="Arial" w:cs="Arial"/>
          <w:b/>
          <w:bCs/>
        </w:rPr>
      </w:pPr>
    </w:p>
    <w:p w14:paraId="551E648C" w14:textId="77777777" w:rsidR="00BC0061" w:rsidRPr="008E68BA" w:rsidRDefault="00BC0061" w:rsidP="008E68BA">
      <w:pPr>
        <w:ind w:right="283"/>
        <w:rPr>
          <w:rFonts w:ascii="Arial" w:hAnsi="Arial" w:cs="Arial"/>
          <w:b/>
          <w:bCs/>
        </w:rPr>
      </w:pPr>
    </w:p>
    <w:p w14:paraId="618E1108" w14:textId="77777777" w:rsidR="00BC0061" w:rsidRPr="008E68BA" w:rsidRDefault="00BC0061" w:rsidP="008E68BA">
      <w:pPr>
        <w:rPr>
          <w:rFonts w:ascii="Arial" w:hAnsi="Arial" w:cs="Arial"/>
          <w:b/>
          <w:bCs/>
        </w:rPr>
      </w:pPr>
      <w:r w:rsidRPr="008E68BA">
        <w:rPr>
          <w:rFonts w:ascii="Arial" w:hAnsi="Arial" w:cs="Arial"/>
          <w:b/>
          <w:bCs/>
        </w:rPr>
        <w:br w:type="page"/>
      </w:r>
    </w:p>
    <w:p w14:paraId="23C38A9C" w14:textId="316DEF9C" w:rsidR="00991F47" w:rsidRPr="008E68BA" w:rsidRDefault="00991F47" w:rsidP="008E68BA">
      <w:pPr>
        <w:ind w:right="283"/>
        <w:rPr>
          <w:rFonts w:ascii="Arial" w:hAnsi="Arial" w:cs="Arial"/>
          <w:b/>
          <w:bCs/>
        </w:rPr>
      </w:pPr>
      <w:r w:rsidRPr="008E68BA">
        <w:rPr>
          <w:rFonts w:ascii="Arial" w:hAnsi="Arial" w:cs="Arial"/>
          <w:b/>
          <w:bCs/>
        </w:rPr>
        <w:lastRenderedPageBreak/>
        <w:t>COVID-19 - Update</w:t>
      </w:r>
    </w:p>
    <w:p w14:paraId="1FA94775" w14:textId="77777777" w:rsidR="005946B7" w:rsidRPr="008E68BA" w:rsidRDefault="005946B7" w:rsidP="008E68BA">
      <w:pPr>
        <w:ind w:right="141"/>
        <w:rPr>
          <w:rFonts w:ascii="Arial" w:hAnsi="Arial" w:cs="Arial"/>
        </w:rPr>
      </w:pPr>
    </w:p>
    <w:p w14:paraId="3C27239A" w14:textId="3087A3D3" w:rsidR="00352F8C" w:rsidRPr="008E68BA" w:rsidRDefault="00352F8C" w:rsidP="008E68BA">
      <w:pPr>
        <w:ind w:right="141"/>
        <w:rPr>
          <w:rFonts w:ascii="Arial" w:hAnsi="Arial" w:cs="Arial"/>
          <w:bCs/>
          <w:i/>
          <w:color w:val="000000"/>
        </w:rPr>
      </w:pPr>
      <w:r w:rsidRPr="008E68BA">
        <w:rPr>
          <w:rFonts w:ascii="Arial" w:hAnsi="Arial" w:cs="Arial"/>
        </w:rPr>
        <w:t xml:space="preserve">NHS Scotland is now experiencing a </w:t>
      </w:r>
      <w:r w:rsidR="00394BF8" w:rsidRPr="008E68BA">
        <w:rPr>
          <w:rFonts w:ascii="Arial" w:hAnsi="Arial" w:cs="Arial"/>
        </w:rPr>
        <w:t>fourth</w:t>
      </w:r>
      <w:r w:rsidRPr="008E68BA">
        <w:rPr>
          <w:rFonts w:ascii="Arial" w:hAnsi="Arial" w:cs="Arial"/>
        </w:rPr>
        <w:t xml:space="preserve"> wave of COVID-19.</w:t>
      </w:r>
      <w:r w:rsidR="00CB314C" w:rsidRPr="008E68BA">
        <w:rPr>
          <w:rFonts w:ascii="Arial" w:hAnsi="Arial" w:cs="Arial"/>
        </w:rPr>
        <w:t xml:space="preserve"> </w:t>
      </w:r>
      <w:r w:rsidRPr="008E68BA">
        <w:rPr>
          <w:rFonts w:ascii="Arial" w:hAnsi="Arial" w:cs="Arial"/>
        </w:rPr>
        <w:t xml:space="preserve"> </w:t>
      </w:r>
      <w:r w:rsidRPr="008E68BA">
        <w:rPr>
          <w:rStyle w:val="Hyperlink"/>
          <w:rFonts w:ascii="Arial" w:hAnsi="Arial" w:cs="Arial"/>
          <w:color w:val="000000"/>
        </w:rPr>
        <w:t xml:space="preserve">To date in NHSGGC there have been over </w:t>
      </w:r>
      <w:r w:rsidR="00746A3D" w:rsidRPr="008E68BA">
        <w:rPr>
          <w:rStyle w:val="Hyperlink"/>
          <w:rFonts w:ascii="Arial" w:hAnsi="Arial" w:cs="Arial"/>
          <w:color w:val="000000"/>
        </w:rPr>
        <w:t>174</w:t>
      </w:r>
      <w:r w:rsidRPr="008E68BA">
        <w:rPr>
          <w:rStyle w:val="Hyperlink"/>
          <w:rFonts w:ascii="Arial" w:hAnsi="Arial" w:cs="Arial"/>
          <w:color w:val="000000"/>
        </w:rPr>
        <w:t>,000 confirmed positive cases however many people do not require admission to our hospitals</w:t>
      </w:r>
      <w:r w:rsidRPr="008E68BA">
        <w:rPr>
          <w:rStyle w:val="Hyperlink"/>
          <w:rFonts w:ascii="Arial" w:hAnsi="Arial" w:cs="Arial"/>
          <w:color w:val="000000"/>
          <w:u w:val="none"/>
        </w:rPr>
        <w:t>.</w:t>
      </w:r>
    </w:p>
    <w:p w14:paraId="448DAB74" w14:textId="77777777" w:rsidR="00352F8C" w:rsidRPr="008E68BA" w:rsidRDefault="00352F8C" w:rsidP="008E68BA">
      <w:pPr>
        <w:ind w:right="141"/>
        <w:rPr>
          <w:rFonts w:ascii="Arial" w:hAnsi="Arial" w:cs="Arial"/>
          <w:bCs/>
          <w:i/>
        </w:rPr>
      </w:pPr>
    </w:p>
    <w:p w14:paraId="09F7592F" w14:textId="77777777" w:rsidR="00352F8C" w:rsidRPr="008E68BA" w:rsidRDefault="00352F8C" w:rsidP="008E68BA">
      <w:pPr>
        <w:ind w:right="141"/>
        <w:rPr>
          <w:rFonts w:ascii="Arial" w:hAnsi="Arial" w:cs="Arial"/>
          <w:bCs/>
        </w:rPr>
      </w:pPr>
      <w:r w:rsidRPr="008E68BA">
        <w:rPr>
          <w:rFonts w:ascii="Arial" w:hAnsi="Arial" w:cs="Arial"/>
          <w:bCs/>
        </w:rPr>
        <w:t>As well as the IPCNs providing advice and expertise to the local clinical teams, the IPCT monitor all COVID-19 positive cases to assist with the provision of overall case numbers, ITU admissions and deaths.</w:t>
      </w:r>
    </w:p>
    <w:p w14:paraId="712523F5" w14:textId="77777777" w:rsidR="00352F8C" w:rsidRPr="008E68BA" w:rsidRDefault="00352F8C" w:rsidP="008E68BA">
      <w:pPr>
        <w:ind w:right="141"/>
        <w:rPr>
          <w:rFonts w:ascii="Arial" w:hAnsi="Arial" w:cs="Arial"/>
          <w:bCs/>
        </w:rPr>
      </w:pPr>
    </w:p>
    <w:p w14:paraId="38E15D93" w14:textId="77777777" w:rsidR="00352F8C" w:rsidRPr="008E68BA" w:rsidRDefault="00352F8C" w:rsidP="008E68BA">
      <w:pPr>
        <w:ind w:right="141"/>
        <w:rPr>
          <w:rFonts w:ascii="Arial" w:hAnsi="Arial" w:cs="Arial"/>
          <w:bCs/>
        </w:rPr>
      </w:pPr>
      <w:r w:rsidRPr="008E68BA">
        <w:rPr>
          <w:rFonts w:ascii="Arial" w:hAnsi="Arial" w:cs="Arial"/>
          <w:bCs/>
          <w:spacing w:val="-4"/>
        </w:rPr>
        <w:t>The bar graph displays the number of in-patients across</w:t>
      </w:r>
      <w:r w:rsidR="00FF2E88" w:rsidRPr="008E68BA">
        <w:rPr>
          <w:rFonts w:ascii="Arial" w:hAnsi="Arial" w:cs="Arial"/>
          <w:bCs/>
          <w:spacing w:val="-6"/>
        </w:rPr>
        <w:t xml:space="preserve"> all GGC hospitals who tested</w:t>
      </w:r>
      <w:r w:rsidRPr="008E68BA">
        <w:rPr>
          <w:rFonts w:ascii="Arial" w:hAnsi="Arial" w:cs="Arial"/>
          <w:bCs/>
          <w:spacing w:val="-6"/>
        </w:rPr>
        <w:t xml:space="preserve"> positive for COVID-19. </w:t>
      </w:r>
      <w:r w:rsidR="00CB314C" w:rsidRPr="008E68BA">
        <w:rPr>
          <w:rFonts w:ascii="Arial" w:hAnsi="Arial" w:cs="Arial"/>
          <w:bCs/>
          <w:spacing w:val="-6"/>
        </w:rPr>
        <w:t xml:space="preserve"> </w:t>
      </w:r>
      <w:r w:rsidRPr="008E68BA">
        <w:rPr>
          <w:rFonts w:ascii="Arial" w:hAnsi="Arial" w:cs="Arial"/>
          <w:bCs/>
        </w:rPr>
        <w:t>In blue are the number of people in intensive care areas.</w:t>
      </w:r>
    </w:p>
    <w:p w14:paraId="66E33D7E" w14:textId="77777777" w:rsidR="00B01823" w:rsidRPr="008E68BA" w:rsidRDefault="00B01823" w:rsidP="008E68BA">
      <w:pPr>
        <w:ind w:right="176"/>
        <w:rPr>
          <w:rFonts w:ascii="Arial" w:hAnsi="Arial" w:cs="Arial"/>
          <w:bCs/>
        </w:rPr>
      </w:pPr>
    </w:p>
    <w:tbl>
      <w:tblPr>
        <w:tblStyle w:val="TableGrid"/>
        <w:tblW w:w="9214" w:type="dxa"/>
        <w:tblInd w:w="-147" w:type="dxa"/>
        <w:tblLayout w:type="fixed"/>
        <w:tblLook w:val="04A0" w:firstRow="1" w:lastRow="0" w:firstColumn="1" w:lastColumn="0" w:noHBand="0" w:noVBand="1"/>
      </w:tblPr>
      <w:tblGrid>
        <w:gridCol w:w="9214"/>
      </w:tblGrid>
      <w:tr w:rsidR="00991F47" w:rsidRPr="008E68BA" w14:paraId="6CFA31C2" w14:textId="77777777" w:rsidTr="00920464">
        <w:tc>
          <w:tcPr>
            <w:tcW w:w="9214" w:type="dxa"/>
            <w:shd w:val="clear" w:color="auto" w:fill="D9D9D9" w:themeFill="background1" w:themeFillShade="D9"/>
          </w:tcPr>
          <w:p w14:paraId="6D583BC7" w14:textId="0A042C4C" w:rsidR="00991F47" w:rsidRPr="008E68BA" w:rsidRDefault="00BC0061" w:rsidP="008E68BA">
            <w:pPr>
              <w:spacing w:before="40" w:after="40"/>
              <w:rPr>
                <w:rFonts w:ascii="Arial" w:hAnsi="Arial" w:cs="Arial"/>
                <w:b/>
                <w:bCs/>
                <w:noProof/>
              </w:rPr>
            </w:pPr>
            <w:r w:rsidRPr="008E68BA">
              <w:rPr>
                <w:rFonts w:ascii="Arial" w:hAnsi="Arial" w:cs="Arial"/>
                <w:b/>
                <w:bCs/>
                <w:noProof/>
              </w:rPr>
              <w:t xml:space="preserve">DAILY </w:t>
            </w:r>
            <w:r w:rsidR="00991F47" w:rsidRPr="008E68BA">
              <w:rPr>
                <w:rFonts w:ascii="Arial" w:hAnsi="Arial" w:cs="Arial"/>
                <w:b/>
                <w:bCs/>
                <w:noProof/>
              </w:rPr>
              <w:t xml:space="preserve">REPORTING – from </w:t>
            </w:r>
            <w:r w:rsidR="00352F8C" w:rsidRPr="008E68BA">
              <w:rPr>
                <w:rFonts w:ascii="Arial" w:hAnsi="Arial" w:cs="Arial"/>
                <w:b/>
                <w:bCs/>
                <w:noProof/>
              </w:rPr>
              <w:t>15/09/2020</w:t>
            </w:r>
            <w:r w:rsidR="00991F47" w:rsidRPr="008E68BA">
              <w:rPr>
                <w:rFonts w:ascii="Arial" w:hAnsi="Arial" w:cs="Arial"/>
                <w:b/>
                <w:bCs/>
                <w:noProof/>
              </w:rPr>
              <w:t xml:space="preserve"> to date</w:t>
            </w:r>
          </w:p>
        </w:tc>
      </w:tr>
      <w:tr w:rsidR="00991F47" w:rsidRPr="008E68BA" w14:paraId="23983A43" w14:textId="77777777" w:rsidTr="00920464">
        <w:tc>
          <w:tcPr>
            <w:tcW w:w="9214" w:type="dxa"/>
          </w:tcPr>
          <w:p w14:paraId="5553D20A" w14:textId="77777777" w:rsidR="00991F47" w:rsidRPr="008E68BA" w:rsidRDefault="00991F47" w:rsidP="008E68BA">
            <w:pPr>
              <w:ind w:right="-2"/>
              <w:rPr>
                <w:rFonts w:ascii="Arial" w:hAnsi="Arial" w:cs="Arial"/>
                <w:b/>
                <w:bCs/>
                <w:i/>
                <w:noProof/>
              </w:rPr>
            </w:pPr>
          </w:p>
          <w:p w14:paraId="0BADBF80" w14:textId="72F85FA2" w:rsidR="00991F47" w:rsidRPr="008E68BA" w:rsidRDefault="0056097A" w:rsidP="008E68BA">
            <w:pPr>
              <w:ind w:right="-2"/>
              <w:rPr>
                <w:rFonts w:ascii="Arial" w:hAnsi="Arial" w:cs="Arial"/>
                <w:b/>
                <w:bCs/>
                <w:i/>
                <w:noProof/>
              </w:rPr>
            </w:pPr>
            <w:r w:rsidRPr="008E68BA">
              <w:rPr>
                <w:rFonts w:ascii="Arial" w:hAnsi="Arial" w:cs="Arial"/>
                <w:b/>
                <w:bCs/>
                <w:i/>
                <w:noProof/>
              </w:rPr>
              <w:drawing>
                <wp:inline distT="0" distB="0" distL="0" distR="0" wp14:anchorId="5AB7D286" wp14:editId="13385E3C">
                  <wp:extent cx="5711825" cy="28047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4817" cy="2806264"/>
                          </a:xfrm>
                          <a:prstGeom prst="rect">
                            <a:avLst/>
                          </a:prstGeom>
                          <a:noFill/>
                          <a:ln>
                            <a:noFill/>
                          </a:ln>
                        </pic:spPr>
                      </pic:pic>
                    </a:graphicData>
                  </a:graphic>
                </wp:inline>
              </w:drawing>
            </w:r>
          </w:p>
        </w:tc>
      </w:tr>
      <w:tr w:rsidR="00991F47" w:rsidRPr="008E68BA" w14:paraId="728020CC" w14:textId="77777777" w:rsidTr="00920464">
        <w:tc>
          <w:tcPr>
            <w:tcW w:w="9214" w:type="dxa"/>
          </w:tcPr>
          <w:p w14:paraId="21FFEEFD" w14:textId="77777777" w:rsidR="00991F47" w:rsidRPr="008E68BA" w:rsidRDefault="00FA0E52" w:rsidP="008E68BA">
            <w:pPr>
              <w:spacing w:before="40" w:after="40"/>
              <w:rPr>
                <w:rFonts w:ascii="Arial" w:hAnsi="Arial" w:cs="Arial"/>
                <w:bCs/>
                <w:i/>
                <w:noProof/>
              </w:rPr>
            </w:pPr>
            <w:r w:rsidRPr="008E68BA">
              <w:rPr>
                <w:rFonts w:ascii="Arial" w:hAnsi="Arial" w:cs="Arial"/>
                <w:bCs/>
                <w:i/>
                <w:noProof/>
              </w:rPr>
              <w:t xml:space="preserve">Daily reporting </w:t>
            </w:r>
            <w:r w:rsidR="00991F47" w:rsidRPr="008E68BA">
              <w:rPr>
                <w:rFonts w:ascii="Arial" w:hAnsi="Arial" w:cs="Arial"/>
                <w:bCs/>
                <w:i/>
                <w:noProof/>
              </w:rPr>
              <w:t>includes only those in-patients who have had a first positive COVID-19 test within the previous 28 days.  Includes Lighthouse and current point of care testing results.</w:t>
            </w:r>
          </w:p>
        </w:tc>
      </w:tr>
    </w:tbl>
    <w:p w14:paraId="3877177D" w14:textId="77777777" w:rsidR="00991F47" w:rsidRPr="008E68BA" w:rsidRDefault="00991F47" w:rsidP="008E68BA">
      <w:pPr>
        <w:ind w:right="141"/>
        <w:rPr>
          <w:rFonts w:ascii="Arial" w:hAnsi="Arial" w:cs="Arial"/>
          <w:lang w:eastAsia="en-US"/>
        </w:rPr>
      </w:pPr>
    </w:p>
    <w:p w14:paraId="4BCCE71C" w14:textId="77777777" w:rsidR="00991F47" w:rsidRPr="008E68BA" w:rsidRDefault="00991F47" w:rsidP="008E68BA">
      <w:pPr>
        <w:ind w:right="141"/>
        <w:rPr>
          <w:rFonts w:ascii="Arial" w:hAnsi="Arial" w:cs="Arial"/>
          <w:lang w:eastAsia="en-US"/>
        </w:rPr>
      </w:pPr>
      <w:r w:rsidRPr="008E68BA">
        <w:rPr>
          <w:rFonts w:ascii="Arial" w:hAnsi="Arial" w:cs="Arial"/>
          <w:lang w:eastAsia="en-US"/>
        </w:rPr>
        <w:t>From 8</w:t>
      </w:r>
      <w:r w:rsidR="00FF2E88" w:rsidRPr="008E68BA">
        <w:rPr>
          <w:rFonts w:ascii="Arial" w:hAnsi="Arial" w:cs="Arial"/>
          <w:vertAlign w:val="superscript"/>
          <w:lang w:eastAsia="en-US"/>
        </w:rPr>
        <w:t>th</w:t>
      </w:r>
      <w:r w:rsidR="00FF2E88" w:rsidRPr="008E68BA">
        <w:rPr>
          <w:rFonts w:ascii="Arial" w:hAnsi="Arial" w:cs="Arial"/>
          <w:lang w:eastAsia="en-US"/>
        </w:rPr>
        <w:t xml:space="preserve"> </w:t>
      </w:r>
      <w:r w:rsidRPr="008E68BA">
        <w:rPr>
          <w:rFonts w:ascii="Arial" w:hAnsi="Arial" w:cs="Arial"/>
          <w:lang w:eastAsia="en-US"/>
        </w:rPr>
        <w:t xml:space="preserve">March 2021, NHSGGC Lighthouse positive test results are fully integrated into </w:t>
      </w:r>
      <w:proofErr w:type="spellStart"/>
      <w:r w:rsidRPr="008E68BA">
        <w:rPr>
          <w:rFonts w:ascii="Arial" w:hAnsi="Arial" w:cs="Arial"/>
          <w:lang w:eastAsia="en-US"/>
        </w:rPr>
        <w:t>ICNet</w:t>
      </w:r>
      <w:proofErr w:type="spellEnd"/>
      <w:r w:rsidRPr="008E68BA">
        <w:rPr>
          <w:rFonts w:ascii="Arial" w:hAnsi="Arial" w:cs="Arial"/>
          <w:color w:val="202124"/>
          <w:shd w:val="clear" w:color="auto" w:fill="FFFFFF"/>
        </w:rPr>
        <w:t>® (</w:t>
      </w:r>
      <w:r w:rsidRPr="008E68BA">
        <w:rPr>
          <w:rFonts w:ascii="Arial" w:hAnsi="Arial" w:cs="Arial"/>
          <w:lang w:eastAsia="en-US"/>
        </w:rPr>
        <w:t>infection control clinical surveillance</w:t>
      </w:r>
      <w:r w:rsidR="00172587" w:rsidRPr="008E68BA">
        <w:rPr>
          <w:rFonts w:ascii="Arial" w:hAnsi="Arial" w:cs="Arial"/>
          <w:lang w:eastAsia="en-US"/>
        </w:rPr>
        <w:t xml:space="preserve"> software system</w:t>
      </w:r>
      <w:r w:rsidRPr="008E68BA">
        <w:rPr>
          <w:rFonts w:ascii="Arial" w:hAnsi="Arial" w:cs="Arial"/>
          <w:lang w:eastAsia="en-US"/>
        </w:rPr>
        <w:t>).  This allows visibility of people who</w:t>
      </w:r>
      <w:r w:rsidR="00897D77" w:rsidRPr="008E68BA">
        <w:rPr>
          <w:rFonts w:ascii="Arial" w:hAnsi="Arial" w:cs="Arial"/>
          <w:lang w:eastAsia="en-US"/>
        </w:rPr>
        <w:t xml:space="preserve"> have had a positive result </w:t>
      </w:r>
      <w:r w:rsidR="00CB314C" w:rsidRPr="008E68BA">
        <w:rPr>
          <w:rFonts w:ascii="Arial" w:hAnsi="Arial" w:cs="Arial"/>
          <w:lang w:eastAsia="en-US"/>
        </w:rPr>
        <w:t>out</w:t>
      </w:r>
      <w:r w:rsidR="00E131FE" w:rsidRPr="008E68BA">
        <w:rPr>
          <w:rFonts w:ascii="Arial" w:hAnsi="Arial" w:cs="Arial"/>
          <w:lang w:eastAsia="en-US"/>
        </w:rPr>
        <w:t xml:space="preserve"> </w:t>
      </w:r>
      <w:r w:rsidR="00F21D17" w:rsidRPr="008E68BA">
        <w:rPr>
          <w:rFonts w:ascii="Arial" w:hAnsi="Arial" w:cs="Arial"/>
          <w:lang w:eastAsia="en-US"/>
        </w:rPr>
        <w:t>with</w:t>
      </w:r>
      <w:r w:rsidRPr="008E68BA">
        <w:rPr>
          <w:rFonts w:ascii="Arial" w:hAnsi="Arial" w:cs="Arial"/>
          <w:lang w:eastAsia="en-US"/>
        </w:rPr>
        <w:t xml:space="preserve"> our hospital if they are subsequently admitted.</w:t>
      </w:r>
    </w:p>
    <w:p w14:paraId="0ECAE8B4" w14:textId="77777777" w:rsidR="00991F47" w:rsidRPr="008E68BA" w:rsidRDefault="00991F47" w:rsidP="008E68BA">
      <w:pPr>
        <w:ind w:right="141"/>
        <w:rPr>
          <w:rFonts w:ascii="Arial" w:hAnsi="Arial" w:cs="Arial"/>
          <w:lang w:eastAsia="en-US"/>
        </w:rPr>
      </w:pPr>
    </w:p>
    <w:p w14:paraId="194DF877" w14:textId="77777777" w:rsidR="00991F47" w:rsidRPr="008E68BA" w:rsidRDefault="00991F47" w:rsidP="008E68BA">
      <w:pPr>
        <w:ind w:right="141"/>
        <w:rPr>
          <w:rFonts w:ascii="Arial" w:hAnsi="Arial" w:cs="Arial"/>
          <w:lang w:eastAsia="en-US"/>
        </w:rPr>
      </w:pPr>
      <w:r w:rsidRPr="008E68BA">
        <w:rPr>
          <w:rFonts w:ascii="Arial" w:hAnsi="Arial" w:cs="Arial"/>
          <w:lang w:eastAsia="en-US"/>
        </w:rPr>
        <w:t>Public Health Scotland now publish weekly reports on the incidence of COVID-19 in Scotland.  T</w:t>
      </w:r>
      <w:r w:rsidR="00FF2E88" w:rsidRPr="008E68BA">
        <w:rPr>
          <w:rFonts w:ascii="Arial" w:hAnsi="Arial" w:cs="Arial"/>
          <w:lang w:eastAsia="en-US"/>
        </w:rPr>
        <w:t xml:space="preserve">hese are available </w:t>
      </w:r>
      <w:r w:rsidRPr="008E68BA">
        <w:rPr>
          <w:rFonts w:ascii="Arial" w:hAnsi="Arial" w:cs="Arial"/>
          <w:lang w:eastAsia="en-US"/>
        </w:rPr>
        <w:t xml:space="preserve">at: </w:t>
      </w:r>
      <w:hyperlink r:id="rId17" w:history="1">
        <w:r w:rsidRPr="008E68BA">
          <w:rPr>
            <w:rStyle w:val="Hyperlink"/>
            <w:rFonts w:ascii="Arial" w:hAnsi="Arial" w:cs="Arial"/>
            <w:lang w:eastAsia="en-US"/>
          </w:rPr>
          <w:t>https://beta.isdscotland.org/find-publications-and-data/population-health/covid-19/covid-19-statistical-report/</w:t>
        </w:r>
      </w:hyperlink>
      <w:r w:rsidRPr="008E68BA">
        <w:rPr>
          <w:rFonts w:ascii="Arial" w:hAnsi="Arial" w:cs="Arial"/>
          <w:lang w:eastAsia="en-US"/>
        </w:rPr>
        <w:t xml:space="preserve"> </w:t>
      </w:r>
    </w:p>
    <w:p w14:paraId="5F41B41C" w14:textId="77777777" w:rsidR="00991F47" w:rsidRPr="008E68BA" w:rsidRDefault="00991F47" w:rsidP="008E68BA">
      <w:pPr>
        <w:ind w:right="141"/>
        <w:rPr>
          <w:rFonts w:ascii="Arial" w:hAnsi="Arial" w:cs="Arial"/>
          <w:b/>
          <w:iCs/>
        </w:rPr>
      </w:pPr>
    </w:p>
    <w:p w14:paraId="76A78FED" w14:textId="77777777" w:rsidR="00991F47" w:rsidRPr="008E68BA" w:rsidRDefault="00991F47" w:rsidP="008E68BA">
      <w:pPr>
        <w:ind w:right="141"/>
        <w:rPr>
          <w:rFonts w:ascii="Arial" w:hAnsi="Arial" w:cs="Arial"/>
        </w:rPr>
      </w:pPr>
      <w:r w:rsidRPr="008E68BA">
        <w:rPr>
          <w:rFonts w:ascii="Arial" w:hAnsi="Arial" w:cs="Arial"/>
        </w:rPr>
        <w:t>Further information on Coronavirus (COVID-19) data, intelligence and guidance is available at:</w:t>
      </w:r>
    </w:p>
    <w:p w14:paraId="15497DAC" w14:textId="77777777" w:rsidR="00991F47" w:rsidRPr="008E68BA" w:rsidRDefault="008E68BA" w:rsidP="008E68BA">
      <w:pPr>
        <w:rPr>
          <w:rStyle w:val="Hyperlink"/>
          <w:rFonts w:ascii="Arial" w:hAnsi="Arial" w:cs="Arial"/>
          <w:iCs/>
        </w:rPr>
      </w:pPr>
      <w:hyperlink r:id="rId18" w:history="1">
        <w:r w:rsidR="00991F47" w:rsidRPr="008E68BA">
          <w:rPr>
            <w:rStyle w:val="Hyperlink"/>
            <w:rFonts w:ascii="Arial" w:hAnsi="Arial" w:cs="Arial"/>
            <w:iCs/>
          </w:rPr>
          <w:t>https://www.publichealthscotland.scot/our-areas-of-work/sharing-our-data-and-intelligence/coronavirus-covid-19-data-and-guidance</w:t>
        </w:r>
      </w:hyperlink>
    </w:p>
    <w:p w14:paraId="7FBECACC" w14:textId="77777777" w:rsidR="00E17234" w:rsidRPr="008E68BA" w:rsidRDefault="00E17234" w:rsidP="008E68BA">
      <w:pPr>
        <w:rPr>
          <w:rStyle w:val="Hyperlink"/>
          <w:rFonts w:ascii="Arial" w:hAnsi="Arial" w:cs="Arial"/>
          <w:iCs/>
        </w:rPr>
      </w:pPr>
    </w:p>
    <w:p w14:paraId="51A345EF" w14:textId="77777777" w:rsidR="00E17234" w:rsidRPr="008E68BA" w:rsidRDefault="00E17234" w:rsidP="008E68BA">
      <w:pPr>
        <w:rPr>
          <w:rFonts w:ascii="Arial" w:hAnsi="Arial" w:cs="Arial"/>
          <w:bCs/>
        </w:rPr>
      </w:pPr>
    </w:p>
    <w:tbl>
      <w:tblPr>
        <w:tblStyle w:val="TableGrid"/>
        <w:tblW w:w="0" w:type="auto"/>
        <w:tblLayout w:type="fixed"/>
        <w:tblLook w:val="04A0" w:firstRow="1" w:lastRow="0" w:firstColumn="1" w:lastColumn="0" w:noHBand="0" w:noVBand="1"/>
      </w:tblPr>
      <w:tblGrid>
        <w:gridCol w:w="9062"/>
      </w:tblGrid>
      <w:tr w:rsidR="00991F47" w:rsidRPr="008E68BA" w14:paraId="6A6B3A09" w14:textId="77777777" w:rsidTr="00991F47">
        <w:tc>
          <w:tcPr>
            <w:tcW w:w="9062" w:type="dxa"/>
            <w:shd w:val="clear" w:color="auto" w:fill="D9D9D9" w:themeFill="background1" w:themeFillShade="D9"/>
          </w:tcPr>
          <w:p w14:paraId="3F66EBA7" w14:textId="77777777" w:rsidR="00991F47" w:rsidRPr="008E68BA" w:rsidRDefault="00991F47" w:rsidP="008E68BA">
            <w:pPr>
              <w:spacing w:before="40" w:after="40"/>
              <w:rPr>
                <w:rFonts w:ascii="Arial" w:hAnsi="Arial" w:cs="Arial"/>
                <w:b/>
                <w:bCs/>
              </w:rPr>
            </w:pPr>
            <w:r w:rsidRPr="008E68BA">
              <w:rPr>
                <w:rFonts w:ascii="Arial" w:hAnsi="Arial" w:cs="Arial"/>
                <w:b/>
                <w:bCs/>
              </w:rPr>
              <w:t xml:space="preserve">Ward closures due to COVID-19 </w:t>
            </w:r>
          </w:p>
        </w:tc>
      </w:tr>
      <w:tr w:rsidR="00991F47" w:rsidRPr="008E68BA" w14:paraId="0BD631EE" w14:textId="77777777" w:rsidTr="00991F47">
        <w:tc>
          <w:tcPr>
            <w:tcW w:w="9062" w:type="dxa"/>
            <w:tcBorders>
              <w:bottom w:val="nil"/>
            </w:tcBorders>
          </w:tcPr>
          <w:p w14:paraId="2E9E5957" w14:textId="267AABB7" w:rsidR="00991F47" w:rsidRPr="008E68BA" w:rsidRDefault="00805411" w:rsidP="008E68BA">
            <w:pPr>
              <w:spacing w:before="120"/>
              <w:rPr>
                <w:rFonts w:ascii="Arial" w:hAnsi="Arial" w:cs="Arial"/>
                <w:bCs/>
                <w:color w:val="000000" w:themeColor="text1"/>
              </w:rPr>
            </w:pPr>
            <w:r w:rsidRPr="008E68BA">
              <w:rPr>
                <w:rFonts w:ascii="Arial" w:hAnsi="Arial" w:cs="Arial"/>
                <w:bCs/>
                <w:color w:val="000000" w:themeColor="text1"/>
              </w:rPr>
              <w:lastRenderedPageBreak/>
              <w:t xml:space="preserve">There were 22 </w:t>
            </w:r>
            <w:r w:rsidR="006F46DC" w:rsidRPr="008E68BA">
              <w:rPr>
                <w:rFonts w:ascii="Arial" w:hAnsi="Arial" w:cs="Arial"/>
                <w:bCs/>
                <w:color w:val="000000" w:themeColor="text1"/>
              </w:rPr>
              <w:t xml:space="preserve">ward closures due to COVID-19 in September 2021, and </w:t>
            </w:r>
            <w:r w:rsidRPr="008E68BA">
              <w:rPr>
                <w:rFonts w:ascii="Arial" w:hAnsi="Arial" w:cs="Arial"/>
                <w:bCs/>
                <w:color w:val="000000" w:themeColor="text1"/>
              </w:rPr>
              <w:t>21</w:t>
            </w:r>
            <w:r w:rsidR="006F46DC" w:rsidRPr="008E68BA">
              <w:rPr>
                <w:rFonts w:ascii="Arial" w:hAnsi="Arial" w:cs="Arial"/>
                <w:bCs/>
                <w:color w:val="000000" w:themeColor="text1"/>
              </w:rPr>
              <w:t xml:space="preserve"> for October 2021.</w:t>
            </w:r>
          </w:p>
        </w:tc>
      </w:tr>
      <w:tr w:rsidR="00991F47" w:rsidRPr="008E68BA" w14:paraId="7B4EBC37" w14:textId="77777777" w:rsidTr="00991F47">
        <w:tc>
          <w:tcPr>
            <w:tcW w:w="9062" w:type="dxa"/>
            <w:tcBorders>
              <w:top w:val="nil"/>
            </w:tcBorders>
          </w:tcPr>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4"/>
              <w:gridCol w:w="604"/>
              <w:gridCol w:w="604"/>
              <w:gridCol w:w="604"/>
              <w:gridCol w:w="604"/>
              <w:gridCol w:w="604"/>
              <w:gridCol w:w="604"/>
              <w:gridCol w:w="604"/>
              <w:gridCol w:w="604"/>
              <w:gridCol w:w="604"/>
              <w:gridCol w:w="604"/>
              <w:gridCol w:w="604"/>
              <w:gridCol w:w="604"/>
            </w:tblGrid>
            <w:tr w:rsidR="006F46DC" w:rsidRPr="008E68BA" w14:paraId="0D73FE78" w14:textId="77777777" w:rsidTr="000D09D9">
              <w:trPr>
                <w:trHeight w:val="403"/>
                <w:jc w:val="center"/>
              </w:trPr>
              <w:tc>
                <w:tcPr>
                  <w:tcW w:w="1154" w:type="dxa"/>
                  <w:shd w:val="clear" w:color="auto" w:fill="D5DCE4" w:themeFill="text2" w:themeFillTint="33"/>
                  <w:noWrap/>
                  <w:tcMar>
                    <w:top w:w="0" w:type="dxa"/>
                    <w:left w:w="108" w:type="dxa"/>
                    <w:bottom w:w="0" w:type="dxa"/>
                    <w:right w:w="108" w:type="dxa"/>
                  </w:tcMar>
                  <w:vAlign w:val="center"/>
                </w:tcPr>
                <w:p w14:paraId="372671BC"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Month</w:t>
                  </w:r>
                </w:p>
              </w:tc>
              <w:tc>
                <w:tcPr>
                  <w:tcW w:w="604" w:type="dxa"/>
                  <w:shd w:val="clear" w:color="auto" w:fill="D5DCE4" w:themeFill="text2" w:themeFillTint="33"/>
                  <w:vAlign w:val="center"/>
                </w:tcPr>
                <w:p w14:paraId="58E60725"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Nov-20</w:t>
                  </w:r>
                </w:p>
              </w:tc>
              <w:tc>
                <w:tcPr>
                  <w:tcW w:w="604" w:type="dxa"/>
                  <w:shd w:val="clear" w:color="auto" w:fill="D5DCE4" w:themeFill="text2" w:themeFillTint="33"/>
                  <w:vAlign w:val="center"/>
                </w:tcPr>
                <w:p w14:paraId="0BAD0C15"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Dec-20</w:t>
                  </w:r>
                </w:p>
              </w:tc>
              <w:tc>
                <w:tcPr>
                  <w:tcW w:w="604" w:type="dxa"/>
                  <w:shd w:val="clear" w:color="auto" w:fill="D5DCE4" w:themeFill="text2" w:themeFillTint="33"/>
                  <w:vAlign w:val="center"/>
                </w:tcPr>
                <w:p w14:paraId="08B53BDA"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Jan-21</w:t>
                  </w:r>
                </w:p>
              </w:tc>
              <w:tc>
                <w:tcPr>
                  <w:tcW w:w="604" w:type="dxa"/>
                  <w:shd w:val="clear" w:color="auto" w:fill="D5DCE4" w:themeFill="text2" w:themeFillTint="33"/>
                  <w:vAlign w:val="center"/>
                </w:tcPr>
                <w:p w14:paraId="2BC5D2D8"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Feb-21</w:t>
                  </w:r>
                </w:p>
              </w:tc>
              <w:tc>
                <w:tcPr>
                  <w:tcW w:w="604" w:type="dxa"/>
                  <w:shd w:val="clear" w:color="auto" w:fill="D5DCE4" w:themeFill="text2" w:themeFillTint="33"/>
                  <w:vAlign w:val="center"/>
                </w:tcPr>
                <w:p w14:paraId="5F36683B"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Mar-21</w:t>
                  </w:r>
                </w:p>
              </w:tc>
              <w:tc>
                <w:tcPr>
                  <w:tcW w:w="604" w:type="dxa"/>
                  <w:shd w:val="clear" w:color="auto" w:fill="D5DCE4" w:themeFill="text2" w:themeFillTint="33"/>
                  <w:vAlign w:val="center"/>
                </w:tcPr>
                <w:p w14:paraId="45498F60"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Apr-21</w:t>
                  </w:r>
                </w:p>
              </w:tc>
              <w:tc>
                <w:tcPr>
                  <w:tcW w:w="604" w:type="dxa"/>
                  <w:shd w:val="clear" w:color="auto" w:fill="D5DCE4" w:themeFill="text2" w:themeFillTint="33"/>
                  <w:vAlign w:val="center"/>
                </w:tcPr>
                <w:p w14:paraId="320E3DF4"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May-21</w:t>
                  </w:r>
                </w:p>
              </w:tc>
              <w:tc>
                <w:tcPr>
                  <w:tcW w:w="604" w:type="dxa"/>
                  <w:shd w:val="clear" w:color="auto" w:fill="D5DCE4" w:themeFill="text2" w:themeFillTint="33"/>
                  <w:vAlign w:val="center"/>
                </w:tcPr>
                <w:p w14:paraId="676B7894"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Jun-21</w:t>
                  </w:r>
                </w:p>
              </w:tc>
              <w:tc>
                <w:tcPr>
                  <w:tcW w:w="604" w:type="dxa"/>
                  <w:shd w:val="clear" w:color="auto" w:fill="D5DCE4" w:themeFill="text2" w:themeFillTint="33"/>
                  <w:vAlign w:val="center"/>
                </w:tcPr>
                <w:p w14:paraId="20FDB5C9"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Jul-21</w:t>
                  </w:r>
                </w:p>
              </w:tc>
              <w:tc>
                <w:tcPr>
                  <w:tcW w:w="604" w:type="dxa"/>
                  <w:shd w:val="clear" w:color="auto" w:fill="D5DCE4" w:themeFill="text2" w:themeFillTint="33"/>
                  <w:vAlign w:val="center"/>
                </w:tcPr>
                <w:p w14:paraId="4033A8B3"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Aug-21</w:t>
                  </w:r>
                </w:p>
              </w:tc>
              <w:tc>
                <w:tcPr>
                  <w:tcW w:w="604" w:type="dxa"/>
                  <w:shd w:val="clear" w:color="auto" w:fill="D5DCE4" w:themeFill="text2" w:themeFillTint="33"/>
                  <w:vAlign w:val="center"/>
                </w:tcPr>
                <w:p w14:paraId="18DBBC36"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Sept-21</w:t>
                  </w:r>
                </w:p>
              </w:tc>
              <w:tc>
                <w:tcPr>
                  <w:tcW w:w="604" w:type="dxa"/>
                  <w:shd w:val="clear" w:color="auto" w:fill="D5DCE4" w:themeFill="text2" w:themeFillTint="33"/>
                  <w:vAlign w:val="center"/>
                </w:tcPr>
                <w:p w14:paraId="40D02DA6" w14:textId="77777777" w:rsidR="006F46DC" w:rsidRPr="008E68BA" w:rsidRDefault="006F46DC" w:rsidP="008E68BA">
                  <w:pPr>
                    <w:pStyle w:val="NoSpacing"/>
                    <w:spacing w:before="40" w:after="40"/>
                    <w:rPr>
                      <w:rFonts w:ascii="Arial" w:hAnsi="Arial" w:cs="Arial"/>
                      <w:b/>
                      <w:bCs/>
                      <w:color w:val="000000" w:themeColor="text1"/>
                      <w:sz w:val="24"/>
                      <w:szCs w:val="24"/>
                    </w:rPr>
                  </w:pPr>
                  <w:r w:rsidRPr="008E68BA">
                    <w:rPr>
                      <w:rFonts w:ascii="Arial" w:hAnsi="Arial" w:cs="Arial"/>
                      <w:b/>
                      <w:bCs/>
                      <w:color w:val="000000" w:themeColor="text1"/>
                      <w:sz w:val="24"/>
                      <w:szCs w:val="24"/>
                    </w:rPr>
                    <w:t>Oct-21</w:t>
                  </w:r>
                </w:p>
              </w:tc>
            </w:tr>
            <w:tr w:rsidR="006F46DC" w:rsidRPr="008E68BA" w14:paraId="1385316D" w14:textId="77777777" w:rsidTr="000D09D9">
              <w:trPr>
                <w:trHeight w:val="345"/>
                <w:jc w:val="center"/>
              </w:trPr>
              <w:tc>
                <w:tcPr>
                  <w:tcW w:w="1154" w:type="dxa"/>
                  <w:noWrap/>
                  <w:tcMar>
                    <w:top w:w="0" w:type="dxa"/>
                    <w:left w:w="108" w:type="dxa"/>
                    <w:bottom w:w="0" w:type="dxa"/>
                    <w:right w:w="108" w:type="dxa"/>
                  </w:tcMar>
                  <w:vAlign w:val="center"/>
                  <w:hideMark/>
                </w:tcPr>
                <w:p w14:paraId="35F5E7CF"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Ward Closures</w:t>
                  </w:r>
                </w:p>
              </w:tc>
              <w:tc>
                <w:tcPr>
                  <w:tcW w:w="604" w:type="dxa"/>
                  <w:vAlign w:val="center"/>
                </w:tcPr>
                <w:p w14:paraId="35CABC1A"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37</w:t>
                  </w:r>
                </w:p>
              </w:tc>
              <w:tc>
                <w:tcPr>
                  <w:tcW w:w="604" w:type="dxa"/>
                  <w:vAlign w:val="center"/>
                </w:tcPr>
                <w:p w14:paraId="3D9F0B5C"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35</w:t>
                  </w:r>
                </w:p>
              </w:tc>
              <w:tc>
                <w:tcPr>
                  <w:tcW w:w="604" w:type="dxa"/>
                  <w:vAlign w:val="center"/>
                </w:tcPr>
                <w:p w14:paraId="1983A111"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49</w:t>
                  </w:r>
                </w:p>
              </w:tc>
              <w:tc>
                <w:tcPr>
                  <w:tcW w:w="604" w:type="dxa"/>
                  <w:vAlign w:val="center"/>
                </w:tcPr>
                <w:p w14:paraId="69C6B814"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34</w:t>
                  </w:r>
                </w:p>
              </w:tc>
              <w:tc>
                <w:tcPr>
                  <w:tcW w:w="604" w:type="dxa"/>
                  <w:vAlign w:val="center"/>
                </w:tcPr>
                <w:p w14:paraId="0790CC3C"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14</w:t>
                  </w:r>
                </w:p>
              </w:tc>
              <w:tc>
                <w:tcPr>
                  <w:tcW w:w="604" w:type="dxa"/>
                  <w:vAlign w:val="center"/>
                </w:tcPr>
                <w:p w14:paraId="58F7BBAA"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3</w:t>
                  </w:r>
                </w:p>
              </w:tc>
              <w:tc>
                <w:tcPr>
                  <w:tcW w:w="604" w:type="dxa"/>
                  <w:vAlign w:val="center"/>
                </w:tcPr>
                <w:p w14:paraId="32E7467F"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8</w:t>
                  </w:r>
                </w:p>
              </w:tc>
              <w:tc>
                <w:tcPr>
                  <w:tcW w:w="604" w:type="dxa"/>
                  <w:vAlign w:val="center"/>
                </w:tcPr>
                <w:p w14:paraId="6D883287"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6</w:t>
                  </w:r>
                </w:p>
              </w:tc>
              <w:tc>
                <w:tcPr>
                  <w:tcW w:w="604" w:type="dxa"/>
                  <w:vAlign w:val="center"/>
                </w:tcPr>
                <w:p w14:paraId="1D074E52"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5</w:t>
                  </w:r>
                </w:p>
              </w:tc>
              <w:tc>
                <w:tcPr>
                  <w:tcW w:w="604" w:type="dxa"/>
                  <w:vAlign w:val="center"/>
                </w:tcPr>
                <w:p w14:paraId="3C545B35"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18</w:t>
                  </w:r>
                </w:p>
              </w:tc>
              <w:tc>
                <w:tcPr>
                  <w:tcW w:w="604" w:type="dxa"/>
                  <w:vAlign w:val="center"/>
                </w:tcPr>
                <w:p w14:paraId="0B3BDBAC" w14:textId="1E3E493B" w:rsidR="006F46DC" w:rsidRPr="008E68BA" w:rsidRDefault="00805411"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22</w:t>
                  </w:r>
                </w:p>
              </w:tc>
              <w:tc>
                <w:tcPr>
                  <w:tcW w:w="604" w:type="dxa"/>
                  <w:vAlign w:val="center"/>
                </w:tcPr>
                <w:p w14:paraId="1266F9AE" w14:textId="56B58A88" w:rsidR="006F46DC" w:rsidRPr="008E68BA" w:rsidRDefault="00805411"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21</w:t>
                  </w:r>
                </w:p>
              </w:tc>
            </w:tr>
            <w:tr w:rsidR="006F46DC" w:rsidRPr="008E68BA" w14:paraId="30C239B3" w14:textId="77777777" w:rsidTr="000D09D9">
              <w:trPr>
                <w:trHeight w:val="345"/>
                <w:jc w:val="center"/>
              </w:trPr>
              <w:tc>
                <w:tcPr>
                  <w:tcW w:w="1154" w:type="dxa"/>
                  <w:noWrap/>
                  <w:tcMar>
                    <w:top w:w="0" w:type="dxa"/>
                    <w:left w:w="108" w:type="dxa"/>
                    <w:bottom w:w="0" w:type="dxa"/>
                    <w:right w:w="108" w:type="dxa"/>
                  </w:tcMar>
                  <w:vAlign w:val="center"/>
                  <w:hideMark/>
                </w:tcPr>
                <w:p w14:paraId="77C5D253"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Bed Days Lost</w:t>
                  </w:r>
                </w:p>
              </w:tc>
              <w:tc>
                <w:tcPr>
                  <w:tcW w:w="604" w:type="dxa"/>
                  <w:vAlign w:val="center"/>
                </w:tcPr>
                <w:p w14:paraId="7B22AF0A"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3992</w:t>
                  </w:r>
                </w:p>
              </w:tc>
              <w:tc>
                <w:tcPr>
                  <w:tcW w:w="604" w:type="dxa"/>
                  <w:vAlign w:val="center"/>
                </w:tcPr>
                <w:p w14:paraId="7CA1FA41"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3665</w:t>
                  </w:r>
                </w:p>
              </w:tc>
              <w:tc>
                <w:tcPr>
                  <w:tcW w:w="604" w:type="dxa"/>
                  <w:vAlign w:val="center"/>
                </w:tcPr>
                <w:p w14:paraId="6D0A97E8"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4938</w:t>
                  </w:r>
                </w:p>
              </w:tc>
              <w:tc>
                <w:tcPr>
                  <w:tcW w:w="604" w:type="dxa"/>
                  <w:vAlign w:val="center"/>
                </w:tcPr>
                <w:p w14:paraId="4A7288B4"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4122</w:t>
                  </w:r>
                </w:p>
              </w:tc>
              <w:tc>
                <w:tcPr>
                  <w:tcW w:w="604" w:type="dxa"/>
                  <w:vAlign w:val="center"/>
                </w:tcPr>
                <w:p w14:paraId="26F3511C"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1103</w:t>
                  </w:r>
                </w:p>
              </w:tc>
              <w:tc>
                <w:tcPr>
                  <w:tcW w:w="604" w:type="dxa"/>
                  <w:vAlign w:val="center"/>
                </w:tcPr>
                <w:p w14:paraId="5F7B7257"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16</w:t>
                  </w:r>
                </w:p>
              </w:tc>
              <w:tc>
                <w:tcPr>
                  <w:tcW w:w="604" w:type="dxa"/>
                  <w:vAlign w:val="center"/>
                </w:tcPr>
                <w:p w14:paraId="1DDE6546"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670</w:t>
                  </w:r>
                </w:p>
              </w:tc>
              <w:tc>
                <w:tcPr>
                  <w:tcW w:w="604" w:type="dxa"/>
                  <w:vAlign w:val="center"/>
                </w:tcPr>
                <w:p w14:paraId="77DFF6F5"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307</w:t>
                  </w:r>
                </w:p>
              </w:tc>
              <w:tc>
                <w:tcPr>
                  <w:tcW w:w="604" w:type="dxa"/>
                  <w:vAlign w:val="center"/>
                </w:tcPr>
                <w:p w14:paraId="66120E9C"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519</w:t>
                  </w:r>
                </w:p>
              </w:tc>
              <w:tc>
                <w:tcPr>
                  <w:tcW w:w="604" w:type="dxa"/>
                  <w:vAlign w:val="center"/>
                </w:tcPr>
                <w:p w14:paraId="5DC76F61" w14:textId="77777777" w:rsidR="006F46DC" w:rsidRPr="008E68BA" w:rsidRDefault="006F46DC"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1078</w:t>
                  </w:r>
                </w:p>
              </w:tc>
              <w:tc>
                <w:tcPr>
                  <w:tcW w:w="604" w:type="dxa"/>
                  <w:vAlign w:val="center"/>
                </w:tcPr>
                <w:p w14:paraId="4708CDFB" w14:textId="568C12AE" w:rsidR="006F46DC" w:rsidRPr="008E68BA" w:rsidRDefault="00805411"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1521</w:t>
                  </w:r>
                </w:p>
              </w:tc>
              <w:tc>
                <w:tcPr>
                  <w:tcW w:w="604" w:type="dxa"/>
                  <w:vAlign w:val="center"/>
                </w:tcPr>
                <w:p w14:paraId="37D2E5AF" w14:textId="0D905DC6" w:rsidR="006F46DC" w:rsidRPr="008E68BA" w:rsidRDefault="00805411" w:rsidP="008E68BA">
                  <w:pPr>
                    <w:pStyle w:val="NoSpacing"/>
                    <w:spacing w:before="40" w:after="40"/>
                    <w:rPr>
                      <w:rFonts w:ascii="Arial" w:hAnsi="Arial" w:cs="Arial"/>
                      <w:color w:val="000000" w:themeColor="text1"/>
                      <w:sz w:val="24"/>
                      <w:szCs w:val="24"/>
                    </w:rPr>
                  </w:pPr>
                  <w:r w:rsidRPr="008E68BA">
                    <w:rPr>
                      <w:rFonts w:ascii="Arial" w:hAnsi="Arial" w:cs="Arial"/>
                      <w:color w:val="000000" w:themeColor="text1"/>
                      <w:sz w:val="24"/>
                      <w:szCs w:val="24"/>
                    </w:rPr>
                    <w:t>1892</w:t>
                  </w:r>
                </w:p>
              </w:tc>
            </w:tr>
          </w:tbl>
          <w:p w14:paraId="1F402817" w14:textId="7483EC79" w:rsidR="00991F47" w:rsidRPr="008E68BA" w:rsidRDefault="00991F47" w:rsidP="008E68BA">
            <w:pPr>
              <w:rPr>
                <w:rFonts w:ascii="Arial" w:hAnsi="Arial" w:cs="Arial"/>
                <w:b/>
                <w:iCs/>
                <w:color w:val="000000" w:themeColor="text1"/>
              </w:rPr>
            </w:pPr>
          </w:p>
        </w:tc>
      </w:tr>
    </w:tbl>
    <w:p w14:paraId="16977D39" w14:textId="77777777" w:rsidR="00991F47" w:rsidRPr="008E68BA" w:rsidRDefault="00991F47" w:rsidP="008E68BA">
      <w:pPr>
        <w:rPr>
          <w:rFonts w:ascii="Arial" w:hAnsi="Arial" w:cs="Arial"/>
          <w:b/>
          <w:iCs/>
        </w:rPr>
      </w:pPr>
    </w:p>
    <w:p w14:paraId="5BEC1DB6" w14:textId="77777777" w:rsidR="007A0D9F" w:rsidRPr="008E68BA" w:rsidRDefault="007A0D9F" w:rsidP="008E68BA">
      <w:pPr>
        <w:rPr>
          <w:rFonts w:ascii="Arial" w:hAnsi="Arial" w:cs="Arial"/>
          <w:b/>
          <w:iCs/>
        </w:rPr>
      </w:pPr>
    </w:p>
    <w:p w14:paraId="261495D1" w14:textId="77777777" w:rsidR="00B47AB4" w:rsidRPr="008E68BA" w:rsidRDefault="00B47AB4" w:rsidP="008E68BA">
      <w:pPr>
        <w:rPr>
          <w:rFonts w:ascii="Arial" w:hAnsi="Arial" w:cs="Arial"/>
          <w:b/>
          <w:iCs/>
        </w:rPr>
      </w:pPr>
    </w:p>
    <w:p w14:paraId="0C3CBE50" w14:textId="0AA319FE" w:rsidR="00991F47" w:rsidRPr="008E68BA" w:rsidRDefault="00991F47" w:rsidP="008E68BA">
      <w:pPr>
        <w:rPr>
          <w:rFonts w:ascii="Arial" w:hAnsi="Arial" w:cs="Arial"/>
          <w:b/>
        </w:rPr>
      </w:pPr>
      <w:r w:rsidRPr="008E68BA">
        <w:rPr>
          <w:rFonts w:ascii="Arial" w:hAnsi="Arial" w:cs="Arial"/>
          <w:b/>
          <w:iCs/>
        </w:rPr>
        <w:t xml:space="preserve">Below is an extract from ARHAI Scotland’s Report on the incidence of COVID-19 in Scotland – Validated data up until </w:t>
      </w:r>
      <w:r w:rsidR="00954362" w:rsidRPr="008E68BA">
        <w:rPr>
          <w:rFonts w:ascii="Arial" w:hAnsi="Arial" w:cs="Arial"/>
          <w:b/>
          <w:iCs/>
        </w:rPr>
        <w:t>24 October</w:t>
      </w:r>
      <w:r w:rsidR="0011740C" w:rsidRPr="008E68BA">
        <w:rPr>
          <w:rFonts w:ascii="Arial" w:hAnsi="Arial" w:cs="Arial"/>
          <w:b/>
          <w:iCs/>
        </w:rPr>
        <w:t xml:space="preserve"> </w:t>
      </w:r>
      <w:r w:rsidRPr="008E68BA">
        <w:rPr>
          <w:rFonts w:ascii="Arial" w:hAnsi="Arial" w:cs="Arial"/>
          <w:b/>
        </w:rPr>
        <w:t>2021</w:t>
      </w:r>
    </w:p>
    <w:tbl>
      <w:tblPr>
        <w:tblStyle w:val="TableGrid"/>
        <w:tblW w:w="1049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29"/>
        <w:gridCol w:w="1017"/>
        <w:gridCol w:w="1101"/>
        <w:gridCol w:w="1189"/>
        <w:gridCol w:w="1134"/>
        <w:gridCol w:w="1134"/>
        <w:gridCol w:w="851"/>
        <w:gridCol w:w="1134"/>
        <w:gridCol w:w="850"/>
        <w:gridCol w:w="851"/>
      </w:tblGrid>
      <w:tr w:rsidR="00B2653E" w:rsidRPr="008E68BA" w14:paraId="1F1FA7C5" w14:textId="77777777" w:rsidTr="00BC0061">
        <w:trPr>
          <w:trHeight w:val="1000"/>
        </w:trPr>
        <w:tc>
          <w:tcPr>
            <w:tcW w:w="1229" w:type="dxa"/>
            <w:shd w:val="clear" w:color="auto" w:fill="78A541"/>
            <w:tcMar>
              <w:top w:w="57" w:type="dxa"/>
              <w:bottom w:w="57" w:type="dxa"/>
            </w:tcMar>
            <w:vAlign w:val="center"/>
          </w:tcPr>
          <w:p w14:paraId="68CE45FB" w14:textId="77777777" w:rsidR="00B2653E" w:rsidRPr="008E68BA" w:rsidRDefault="00B2653E" w:rsidP="008E68BA">
            <w:pPr>
              <w:pStyle w:val="TableHead"/>
              <w:jc w:val="left"/>
              <w:rPr>
                <w:rFonts w:cs="Arial"/>
                <w:sz w:val="24"/>
                <w:szCs w:val="24"/>
              </w:rPr>
            </w:pPr>
            <w:r w:rsidRPr="008E68BA">
              <w:rPr>
                <w:rFonts w:cs="Arial"/>
                <w:sz w:val="24"/>
                <w:szCs w:val="24"/>
              </w:rPr>
              <w:t>NHS board</w:t>
            </w:r>
          </w:p>
        </w:tc>
        <w:tc>
          <w:tcPr>
            <w:tcW w:w="1017" w:type="dxa"/>
            <w:shd w:val="clear" w:color="auto" w:fill="78A541"/>
            <w:vAlign w:val="center"/>
          </w:tcPr>
          <w:p w14:paraId="4C5FAE16" w14:textId="77777777" w:rsidR="00B2653E" w:rsidRPr="008E68BA" w:rsidRDefault="00B2653E" w:rsidP="008E68BA">
            <w:pPr>
              <w:pStyle w:val="TableHead"/>
              <w:jc w:val="left"/>
              <w:rPr>
                <w:rFonts w:cs="Arial"/>
                <w:sz w:val="24"/>
                <w:szCs w:val="24"/>
              </w:rPr>
            </w:pPr>
            <w:r w:rsidRPr="008E68BA">
              <w:rPr>
                <w:rFonts w:cs="Arial"/>
                <w:sz w:val="24"/>
                <w:szCs w:val="24"/>
              </w:rPr>
              <w:t>Total COVID-19 cases</w:t>
            </w:r>
          </w:p>
          <w:p w14:paraId="0DA65E28" w14:textId="77777777" w:rsidR="00B2653E" w:rsidRPr="008E68BA" w:rsidRDefault="00B2653E" w:rsidP="008E68BA">
            <w:pPr>
              <w:pStyle w:val="TableHead"/>
              <w:jc w:val="left"/>
              <w:rPr>
                <w:rFonts w:cs="Arial"/>
                <w:sz w:val="24"/>
                <w:szCs w:val="24"/>
              </w:rPr>
            </w:pPr>
          </w:p>
          <w:p w14:paraId="4276E80B" w14:textId="77777777" w:rsidR="00B2653E" w:rsidRPr="008E68BA" w:rsidRDefault="00B2653E" w:rsidP="008E68BA">
            <w:pPr>
              <w:pStyle w:val="TableHead"/>
              <w:jc w:val="left"/>
              <w:rPr>
                <w:rFonts w:cs="Arial"/>
                <w:sz w:val="24"/>
                <w:szCs w:val="24"/>
              </w:rPr>
            </w:pPr>
            <w:r w:rsidRPr="008E68BA">
              <w:rPr>
                <w:rFonts w:cs="Arial"/>
                <w:sz w:val="24"/>
                <w:szCs w:val="24"/>
              </w:rPr>
              <w:t>(n)</w:t>
            </w:r>
          </w:p>
        </w:tc>
        <w:tc>
          <w:tcPr>
            <w:tcW w:w="1101" w:type="dxa"/>
            <w:shd w:val="clear" w:color="auto" w:fill="78A541"/>
            <w:vAlign w:val="center"/>
          </w:tcPr>
          <w:p w14:paraId="66B0BAB8" w14:textId="77777777" w:rsidR="00B2653E" w:rsidRPr="008E68BA" w:rsidRDefault="00B2653E" w:rsidP="008E68BA">
            <w:pPr>
              <w:pStyle w:val="TableHead"/>
              <w:jc w:val="left"/>
              <w:rPr>
                <w:rFonts w:cs="Arial"/>
                <w:sz w:val="24"/>
                <w:szCs w:val="24"/>
              </w:rPr>
            </w:pPr>
            <w:r w:rsidRPr="008E68BA">
              <w:rPr>
                <w:rFonts w:cs="Arial"/>
                <w:sz w:val="24"/>
                <w:szCs w:val="24"/>
              </w:rPr>
              <w:t>Non-hospital onset</w:t>
            </w:r>
          </w:p>
          <w:p w14:paraId="24F8250C" w14:textId="77777777" w:rsidR="00B2653E" w:rsidRPr="008E68BA" w:rsidRDefault="00B2653E" w:rsidP="008E68BA">
            <w:pPr>
              <w:pStyle w:val="TableHead"/>
              <w:jc w:val="left"/>
              <w:rPr>
                <w:rFonts w:cs="Arial"/>
                <w:sz w:val="24"/>
                <w:szCs w:val="24"/>
              </w:rPr>
            </w:pPr>
          </w:p>
          <w:p w14:paraId="5EB20F08" w14:textId="77777777" w:rsidR="00B2653E" w:rsidRPr="008E68BA" w:rsidRDefault="00B2653E" w:rsidP="008E68BA">
            <w:pPr>
              <w:pStyle w:val="TableHead"/>
              <w:jc w:val="left"/>
              <w:rPr>
                <w:rFonts w:cs="Arial"/>
                <w:sz w:val="24"/>
                <w:szCs w:val="24"/>
              </w:rPr>
            </w:pPr>
            <w:r w:rsidRPr="008E68BA">
              <w:rPr>
                <w:rFonts w:cs="Arial"/>
                <w:sz w:val="24"/>
                <w:szCs w:val="24"/>
              </w:rPr>
              <w:t>(n)</w:t>
            </w:r>
          </w:p>
        </w:tc>
        <w:tc>
          <w:tcPr>
            <w:tcW w:w="1189" w:type="dxa"/>
            <w:shd w:val="clear" w:color="auto" w:fill="78A541"/>
            <w:tcMar>
              <w:top w:w="57" w:type="dxa"/>
              <w:bottom w:w="57" w:type="dxa"/>
            </w:tcMar>
            <w:vAlign w:val="center"/>
          </w:tcPr>
          <w:p w14:paraId="6FF77F4B" w14:textId="77777777" w:rsidR="00B2653E" w:rsidRPr="008E68BA" w:rsidRDefault="00B2653E" w:rsidP="008E68BA">
            <w:pPr>
              <w:pStyle w:val="TableHead"/>
              <w:jc w:val="left"/>
              <w:rPr>
                <w:rFonts w:cs="Arial"/>
                <w:sz w:val="24"/>
                <w:szCs w:val="24"/>
              </w:rPr>
            </w:pPr>
            <w:r w:rsidRPr="008E68BA">
              <w:rPr>
                <w:rFonts w:cs="Arial"/>
                <w:sz w:val="24"/>
                <w:szCs w:val="24"/>
              </w:rPr>
              <w:t>Indeterminate hospital onset cases</w:t>
            </w:r>
          </w:p>
          <w:p w14:paraId="04DB54D7" w14:textId="77777777" w:rsidR="00B2653E" w:rsidRPr="008E68BA" w:rsidRDefault="00B2653E" w:rsidP="008E68BA">
            <w:pPr>
              <w:pStyle w:val="TableHead"/>
              <w:jc w:val="left"/>
              <w:rPr>
                <w:rFonts w:cs="Arial"/>
                <w:sz w:val="24"/>
                <w:szCs w:val="24"/>
              </w:rPr>
            </w:pPr>
          </w:p>
          <w:p w14:paraId="6D52617E" w14:textId="77777777" w:rsidR="00B2653E" w:rsidRPr="008E68BA" w:rsidRDefault="00B2653E" w:rsidP="008E68BA">
            <w:pPr>
              <w:pStyle w:val="TableHead"/>
              <w:jc w:val="left"/>
              <w:rPr>
                <w:rFonts w:cs="Arial"/>
                <w:sz w:val="24"/>
                <w:szCs w:val="24"/>
              </w:rPr>
            </w:pPr>
            <w:r w:rsidRPr="008E68BA">
              <w:rPr>
                <w:rFonts w:cs="Arial"/>
                <w:sz w:val="24"/>
                <w:szCs w:val="24"/>
              </w:rPr>
              <w:t>(n)</w:t>
            </w:r>
          </w:p>
        </w:tc>
        <w:tc>
          <w:tcPr>
            <w:tcW w:w="1134" w:type="dxa"/>
            <w:shd w:val="clear" w:color="auto" w:fill="78A541"/>
            <w:tcMar>
              <w:top w:w="57" w:type="dxa"/>
              <w:bottom w:w="57" w:type="dxa"/>
            </w:tcMar>
            <w:vAlign w:val="center"/>
          </w:tcPr>
          <w:p w14:paraId="0C73111E" w14:textId="77777777" w:rsidR="00B2653E" w:rsidRPr="008E68BA" w:rsidRDefault="00B2653E" w:rsidP="008E68BA">
            <w:pPr>
              <w:pStyle w:val="TableHead"/>
              <w:jc w:val="left"/>
              <w:rPr>
                <w:rFonts w:cs="Arial"/>
                <w:sz w:val="24"/>
                <w:szCs w:val="24"/>
              </w:rPr>
            </w:pPr>
            <w:r w:rsidRPr="008E68BA">
              <w:rPr>
                <w:rFonts w:cs="Arial"/>
                <w:sz w:val="24"/>
                <w:szCs w:val="24"/>
              </w:rPr>
              <w:t>Probable hospital onset cases</w:t>
            </w:r>
          </w:p>
          <w:p w14:paraId="35646691" w14:textId="77777777" w:rsidR="00B2653E" w:rsidRPr="008E68BA" w:rsidRDefault="00B2653E" w:rsidP="008E68BA">
            <w:pPr>
              <w:pStyle w:val="TableHead"/>
              <w:jc w:val="left"/>
              <w:rPr>
                <w:rFonts w:cs="Arial"/>
                <w:sz w:val="24"/>
                <w:szCs w:val="24"/>
              </w:rPr>
            </w:pPr>
            <w:r w:rsidRPr="008E68BA">
              <w:rPr>
                <w:rFonts w:cs="Arial"/>
                <w:sz w:val="24"/>
                <w:szCs w:val="24"/>
              </w:rPr>
              <w:t>(n)</w:t>
            </w:r>
          </w:p>
        </w:tc>
        <w:tc>
          <w:tcPr>
            <w:tcW w:w="1134" w:type="dxa"/>
            <w:shd w:val="clear" w:color="auto" w:fill="78A541"/>
            <w:tcMar>
              <w:top w:w="57" w:type="dxa"/>
              <w:bottom w:w="57" w:type="dxa"/>
            </w:tcMar>
            <w:vAlign w:val="center"/>
          </w:tcPr>
          <w:p w14:paraId="67BFAB21" w14:textId="77777777" w:rsidR="00B2653E" w:rsidRPr="008E68BA" w:rsidRDefault="00B2653E" w:rsidP="008E68BA">
            <w:pPr>
              <w:pStyle w:val="TableHead"/>
              <w:jc w:val="left"/>
              <w:rPr>
                <w:rFonts w:cs="Arial"/>
                <w:sz w:val="24"/>
                <w:szCs w:val="24"/>
              </w:rPr>
            </w:pPr>
            <w:r w:rsidRPr="008E68BA">
              <w:rPr>
                <w:rFonts w:cs="Arial"/>
                <w:sz w:val="24"/>
                <w:szCs w:val="24"/>
              </w:rPr>
              <w:t>Definite hospital onset cases</w:t>
            </w:r>
          </w:p>
          <w:p w14:paraId="3F1504C1" w14:textId="77777777" w:rsidR="00B2653E" w:rsidRPr="008E68BA" w:rsidRDefault="00B2653E" w:rsidP="008E68BA">
            <w:pPr>
              <w:pStyle w:val="TableHead"/>
              <w:jc w:val="left"/>
              <w:rPr>
                <w:rFonts w:cs="Arial"/>
                <w:sz w:val="24"/>
                <w:szCs w:val="24"/>
              </w:rPr>
            </w:pPr>
            <w:r w:rsidRPr="008E68BA">
              <w:rPr>
                <w:rFonts w:cs="Arial"/>
                <w:sz w:val="24"/>
                <w:szCs w:val="24"/>
              </w:rPr>
              <w:t>(n)</w:t>
            </w:r>
          </w:p>
        </w:tc>
        <w:tc>
          <w:tcPr>
            <w:tcW w:w="851" w:type="dxa"/>
            <w:shd w:val="clear" w:color="auto" w:fill="78A541"/>
            <w:vAlign w:val="center"/>
          </w:tcPr>
          <w:p w14:paraId="24642BF1" w14:textId="77777777" w:rsidR="00B2653E" w:rsidRPr="008E68BA" w:rsidRDefault="00B2653E" w:rsidP="008E68BA">
            <w:pPr>
              <w:pStyle w:val="TableHead"/>
              <w:jc w:val="left"/>
              <w:rPr>
                <w:rFonts w:cs="Arial"/>
                <w:sz w:val="24"/>
                <w:szCs w:val="24"/>
              </w:rPr>
            </w:pPr>
            <w:r w:rsidRPr="008E68BA">
              <w:rPr>
                <w:rFonts w:cs="Arial"/>
                <w:sz w:val="24"/>
                <w:szCs w:val="24"/>
              </w:rPr>
              <w:t>Non-hospital onset</w:t>
            </w:r>
          </w:p>
          <w:p w14:paraId="31F68F7F" w14:textId="77777777" w:rsidR="00B2653E" w:rsidRPr="008E68BA" w:rsidRDefault="00B2653E" w:rsidP="008E68BA">
            <w:pPr>
              <w:pStyle w:val="TableHead"/>
              <w:jc w:val="left"/>
              <w:rPr>
                <w:rFonts w:cs="Arial"/>
                <w:sz w:val="24"/>
                <w:szCs w:val="24"/>
              </w:rPr>
            </w:pPr>
          </w:p>
          <w:p w14:paraId="5AEBD7E6" w14:textId="77777777" w:rsidR="00B2653E" w:rsidRPr="008E68BA" w:rsidRDefault="00B2653E" w:rsidP="008E68BA">
            <w:pPr>
              <w:pStyle w:val="TableHead"/>
              <w:jc w:val="left"/>
              <w:rPr>
                <w:rFonts w:cs="Arial"/>
                <w:sz w:val="24"/>
                <w:szCs w:val="24"/>
              </w:rPr>
            </w:pPr>
            <w:r w:rsidRPr="008E68BA">
              <w:rPr>
                <w:rFonts w:cs="Arial"/>
                <w:sz w:val="24"/>
                <w:szCs w:val="24"/>
              </w:rPr>
              <w:t>(%)</w:t>
            </w:r>
          </w:p>
        </w:tc>
        <w:tc>
          <w:tcPr>
            <w:tcW w:w="1134" w:type="dxa"/>
            <w:shd w:val="clear" w:color="auto" w:fill="78A541"/>
            <w:tcMar>
              <w:top w:w="57" w:type="dxa"/>
              <w:bottom w:w="57" w:type="dxa"/>
            </w:tcMar>
            <w:vAlign w:val="center"/>
          </w:tcPr>
          <w:p w14:paraId="24C66773" w14:textId="77777777" w:rsidR="00B2653E" w:rsidRPr="008E68BA" w:rsidRDefault="00B2653E" w:rsidP="008E68BA">
            <w:pPr>
              <w:pStyle w:val="TableHead"/>
              <w:jc w:val="left"/>
              <w:rPr>
                <w:rFonts w:cs="Arial"/>
                <w:sz w:val="24"/>
                <w:szCs w:val="24"/>
              </w:rPr>
            </w:pPr>
            <w:r w:rsidRPr="008E68BA">
              <w:rPr>
                <w:rFonts w:cs="Arial"/>
                <w:sz w:val="24"/>
                <w:szCs w:val="24"/>
              </w:rPr>
              <w:t>Indeterminate hospital onset cases</w:t>
            </w:r>
          </w:p>
          <w:p w14:paraId="6A7B78E6" w14:textId="77777777" w:rsidR="00B2653E" w:rsidRPr="008E68BA" w:rsidRDefault="00B2653E" w:rsidP="008E68BA">
            <w:pPr>
              <w:pStyle w:val="TableHead"/>
              <w:jc w:val="left"/>
              <w:rPr>
                <w:rFonts w:cs="Arial"/>
                <w:sz w:val="24"/>
                <w:szCs w:val="24"/>
              </w:rPr>
            </w:pPr>
          </w:p>
          <w:p w14:paraId="1DD9EC65" w14:textId="77777777" w:rsidR="00B2653E" w:rsidRPr="008E68BA" w:rsidRDefault="00B2653E" w:rsidP="008E68BA">
            <w:pPr>
              <w:pStyle w:val="TableHead"/>
              <w:jc w:val="left"/>
              <w:rPr>
                <w:rFonts w:cs="Arial"/>
                <w:sz w:val="24"/>
                <w:szCs w:val="24"/>
              </w:rPr>
            </w:pPr>
            <w:r w:rsidRPr="008E68BA">
              <w:rPr>
                <w:rFonts w:cs="Arial"/>
                <w:sz w:val="24"/>
                <w:szCs w:val="24"/>
              </w:rPr>
              <w:t>(%)</w:t>
            </w:r>
          </w:p>
        </w:tc>
        <w:tc>
          <w:tcPr>
            <w:tcW w:w="850" w:type="dxa"/>
            <w:shd w:val="clear" w:color="auto" w:fill="78A541"/>
            <w:tcMar>
              <w:top w:w="57" w:type="dxa"/>
              <w:bottom w:w="57" w:type="dxa"/>
            </w:tcMar>
            <w:vAlign w:val="center"/>
          </w:tcPr>
          <w:p w14:paraId="4C4E9431" w14:textId="77777777" w:rsidR="00B2653E" w:rsidRPr="008E68BA" w:rsidRDefault="00B2653E" w:rsidP="008E68BA">
            <w:pPr>
              <w:pStyle w:val="TableHead"/>
              <w:jc w:val="left"/>
              <w:rPr>
                <w:rFonts w:cs="Arial"/>
                <w:sz w:val="24"/>
                <w:szCs w:val="24"/>
              </w:rPr>
            </w:pPr>
            <w:r w:rsidRPr="008E68BA">
              <w:rPr>
                <w:rFonts w:cs="Arial"/>
                <w:sz w:val="24"/>
                <w:szCs w:val="24"/>
              </w:rPr>
              <w:t>Probable hospital onset cases</w:t>
            </w:r>
          </w:p>
          <w:p w14:paraId="7D97E9CC" w14:textId="77777777" w:rsidR="00B2653E" w:rsidRPr="008E68BA" w:rsidRDefault="00B2653E" w:rsidP="008E68BA">
            <w:pPr>
              <w:pStyle w:val="TableHead"/>
              <w:jc w:val="left"/>
              <w:rPr>
                <w:rFonts w:cs="Arial"/>
                <w:sz w:val="24"/>
                <w:szCs w:val="24"/>
              </w:rPr>
            </w:pPr>
            <w:r w:rsidRPr="008E68BA">
              <w:rPr>
                <w:rFonts w:cs="Arial"/>
                <w:sz w:val="24"/>
                <w:szCs w:val="24"/>
              </w:rPr>
              <w:t>(%)</w:t>
            </w:r>
          </w:p>
        </w:tc>
        <w:tc>
          <w:tcPr>
            <w:tcW w:w="851" w:type="dxa"/>
            <w:shd w:val="clear" w:color="auto" w:fill="78A541"/>
            <w:tcMar>
              <w:top w:w="57" w:type="dxa"/>
              <w:bottom w:w="57" w:type="dxa"/>
            </w:tcMar>
            <w:vAlign w:val="center"/>
          </w:tcPr>
          <w:p w14:paraId="47F13AAF" w14:textId="77777777" w:rsidR="00B2653E" w:rsidRPr="008E68BA" w:rsidRDefault="00B2653E" w:rsidP="008E68BA">
            <w:pPr>
              <w:pStyle w:val="TableHead"/>
              <w:jc w:val="left"/>
              <w:rPr>
                <w:rFonts w:cs="Arial"/>
                <w:sz w:val="24"/>
                <w:szCs w:val="24"/>
              </w:rPr>
            </w:pPr>
            <w:r w:rsidRPr="008E68BA">
              <w:rPr>
                <w:rFonts w:cs="Arial"/>
                <w:sz w:val="24"/>
                <w:szCs w:val="24"/>
              </w:rPr>
              <w:t>Definite hospital onset cases</w:t>
            </w:r>
          </w:p>
          <w:p w14:paraId="0C6523EB" w14:textId="77777777" w:rsidR="00B2653E" w:rsidRPr="008E68BA" w:rsidRDefault="00B2653E" w:rsidP="008E68BA">
            <w:pPr>
              <w:pStyle w:val="TableHead"/>
              <w:jc w:val="left"/>
              <w:rPr>
                <w:rFonts w:cs="Arial"/>
                <w:sz w:val="24"/>
                <w:szCs w:val="24"/>
              </w:rPr>
            </w:pPr>
            <w:r w:rsidRPr="008E68BA">
              <w:rPr>
                <w:rFonts w:cs="Arial"/>
                <w:sz w:val="24"/>
                <w:szCs w:val="24"/>
              </w:rPr>
              <w:t>(%)</w:t>
            </w:r>
          </w:p>
        </w:tc>
      </w:tr>
      <w:tr w:rsidR="00B2653E" w:rsidRPr="008E68BA" w14:paraId="08A71314" w14:textId="77777777" w:rsidTr="00DF2819">
        <w:trPr>
          <w:trHeight w:val="268"/>
        </w:trPr>
        <w:tc>
          <w:tcPr>
            <w:tcW w:w="1229" w:type="dxa"/>
            <w:vAlign w:val="center"/>
          </w:tcPr>
          <w:p w14:paraId="1C73E94A"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Ayrshire &amp; Arran</w:t>
            </w:r>
          </w:p>
        </w:tc>
        <w:tc>
          <w:tcPr>
            <w:tcW w:w="1017" w:type="dxa"/>
            <w:shd w:val="clear" w:color="auto" w:fill="auto"/>
            <w:vAlign w:val="center"/>
          </w:tcPr>
          <w:p w14:paraId="25C9829E"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44,506</w:t>
            </w:r>
          </w:p>
        </w:tc>
        <w:tc>
          <w:tcPr>
            <w:tcW w:w="1101" w:type="dxa"/>
            <w:shd w:val="clear" w:color="auto" w:fill="auto"/>
            <w:vAlign w:val="center"/>
          </w:tcPr>
          <w:p w14:paraId="3EA4ACDB"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1,092</w:t>
            </w:r>
          </w:p>
        </w:tc>
        <w:tc>
          <w:tcPr>
            <w:tcW w:w="1189" w:type="dxa"/>
            <w:shd w:val="clear" w:color="auto" w:fill="auto"/>
            <w:tcMar>
              <w:right w:w="170" w:type="dxa"/>
            </w:tcMar>
            <w:vAlign w:val="center"/>
          </w:tcPr>
          <w:p w14:paraId="4E883602"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157</w:t>
            </w:r>
          </w:p>
        </w:tc>
        <w:tc>
          <w:tcPr>
            <w:tcW w:w="1134" w:type="dxa"/>
            <w:shd w:val="clear" w:color="auto" w:fill="auto"/>
            <w:tcMar>
              <w:right w:w="170" w:type="dxa"/>
            </w:tcMar>
            <w:vAlign w:val="center"/>
          </w:tcPr>
          <w:p w14:paraId="5A8CCC82"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268</w:t>
            </w:r>
          </w:p>
        </w:tc>
        <w:tc>
          <w:tcPr>
            <w:tcW w:w="1134" w:type="dxa"/>
            <w:shd w:val="clear" w:color="auto" w:fill="auto"/>
            <w:tcMar>
              <w:right w:w="170" w:type="dxa"/>
            </w:tcMar>
            <w:vAlign w:val="center"/>
          </w:tcPr>
          <w:p w14:paraId="668E72A3"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493</w:t>
            </w:r>
          </w:p>
        </w:tc>
        <w:tc>
          <w:tcPr>
            <w:tcW w:w="851" w:type="dxa"/>
            <w:shd w:val="clear" w:color="auto" w:fill="auto"/>
            <w:vAlign w:val="center"/>
          </w:tcPr>
          <w:p w14:paraId="01D0C823"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2.5%</w:t>
            </w:r>
          </w:p>
        </w:tc>
        <w:tc>
          <w:tcPr>
            <w:tcW w:w="1134" w:type="dxa"/>
            <w:shd w:val="clear" w:color="auto" w:fill="auto"/>
            <w:tcMar>
              <w:right w:w="170" w:type="dxa"/>
            </w:tcMar>
            <w:vAlign w:val="center"/>
          </w:tcPr>
          <w:p w14:paraId="419A8FED"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0.4%</w:t>
            </w:r>
          </w:p>
        </w:tc>
        <w:tc>
          <w:tcPr>
            <w:tcW w:w="850" w:type="dxa"/>
            <w:shd w:val="clear" w:color="auto" w:fill="auto"/>
            <w:tcMar>
              <w:right w:w="170" w:type="dxa"/>
            </w:tcMar>
            <w:vAlign w:val="center"/>
          </w:tcPr>
          <w:p w14:paraId="61904D31"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0.6%</w:t>
            </w:r>
          </w:p>
        </w:tc>
        <w:tc>
          <w:tcPr>
            <w:tcW w:w="851" w:type="dxa"/>
            <w:shd w:val="clear" w:color="auto" w:fill="auto"/>
            <w:tcMar>
              <w:right w:w="170" w:type="dxa"/>
            </w:tcMar>
            <w:vAlign w:val="center"/>
          </w:tcPr>
          <w:p w14:paraId="77EE3653"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1.1%</w:t>
            </w:r>
          </w:p>
        </w:tc>
      </w:tr>
      <w:tr w:rsidR="00B2653E" w:rsidRPr="008E68BA" w14:paraId="1B014C60" w14:textId="77777777" w:rsidTr="00DF2819">
        <w:trPr>
          <w:trHeight w:val="268"/>
        </w:trPr>
        <w:tc>
          <w:tcPr>
            <w:tcW w:w="1229" w:type="dxa"/>
            <w:vAlign w:val="center"/>
          </w:tcPr>
          <w:p w14:paraId="0C93A2BC"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Borders</w:t>
            </w:r>
          </w:p>
        </w:tc>
        <w:tc>
          <w:tcPr>
            <w:tcW w:w="1017" w:type="dxa"/>
            <w:shd w:val="clear" w:color="auto" w:fill="auto"/>
            <w:vAlign w:val="center"/>
          </w:tcPr>
          <w:p w14:paraId="16D6D02E"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8,807</w:t>
            </w:r>
          </w:p>
        </w:tc>
        <w:tc>
          <w:tcPr>
            <w:tcW w:w="1101" w:type="dxa"/>
            <w:shd w:val="clear" w:color="auto" w:fill="auto"/>
            <w:vAlign w:val="center"/>
          </w:tcPr>
          <w:p w14:paraId="49FD2BEF"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178</w:t>
            </w:r>
          </w:p>
        </w:tc>
        <w:tc>
          <w:tcPr>
            <w:tcW w:w="1189" w:type="dxa"/>
            <w:shd w:val="clear" w:color="auto" w:fill="auto"/>
            <w:tcMar>
              <w:right w:w="170" w:type="dxa"/>
            </w:tcMar>
            <w:vAlign w:val="center"/>
          </w:tcPr>
          <w:p w14:paraId="108B44A5"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22</w:t>
            </w:r>
          </w:p>
        </w:tc>
        <w:tc>
          <w:tcPr>
            <w:tcW w:w="1134" w:type="dxa"/>
            <w:shd w:val="clear" w:color="auto" w:fill="auto"/>
            <w:tcMar>
              <w:right w:w="170" w:type="dxa"/>
            </w:tcMar>
            <w:vAlign w:val="center"/>
          </w:tcPr>
          <w:p w14:paraId="49D53918"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24</w:t>
            </w:r>
          </w:p>
        </w:tc>
        <w:tc>
          <w:tcPr>
            <w:tcW w:w="1134" w:type="dxa"/>
            <w:shd w:val="clear" w:color="auto" w:fill="auto"/>
            <w:tcMar>
              <w:right w:w="170" w:type="dxa"/>
            </w:tcMar>
            <w:vAlign w:val="center"/>
          </w:tcPr>
          <w:p w14:paraId="13FC2EAE"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64</w:t>
            </w:r>
          </w:p>
        </w:tc>
        <w:tc>
          <w:tcPr>
            <w:tcW w:w="851" w:type="dxa"/>
            <w:shd w:val="clear" w:color="auto" w:fill="auto"/>
            <w:vAlign w:val="center"/>
          </w:tcPr>
          <w:p w14:paraId="4C977E56"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2.0%</w:t>
            </w:r>
          </w:p>
        </w:tc>
        <w:tc>
          <w:tcPr>
            <w:tcW w:w="1134" w:type="dxa"/>
            <w:shd w:val="clear" w:color="auto" w:fill="auto"/>
            <w:tcMar>
              <w:right w:w="170" w:type="dxa"/>
            </w:tcMar>
            <w:vAlign w:val="center"/>
          </w:tcPr>
          <w:p w14:paraId="6AD67AC3"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0.2%</w:t>
            </w:r>
          </w:p>
        </w:tc>
        <w:tc>
          <w:tcPr>
            <w:tcW w:w="850" w:type="dxa"/>
            <w:shd w:val="clear" w:color="auto" w:fill="auto"/>
            <w:tcMar>
              <w:right w:w="170" w:type="dxa"/>
            </w:tcMar>
            <w:vAlign w:val="center"/>
          </w:tcPr>
          <w:p w14:paraId="41307CA8"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0.3%</w:t>
            </w:r>
          </w:p>
        </w:tc>
        <w:tc>
          <w:tcPr>
            <w:tcW w:w="851" w:type="dxa"/>
            <w:shd w:val="clear" w:color="auto" w:fill="auto"/>
            <w:tcMar>
              <w:right w:w="170" w:type="dxa"/>
            </w:tcMar>
            <w:vAlign w:val="center"/>
          </w:tcPr>
          <w:p w14:paraId="7C2B0F92"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0.7%</w:t>
            </w:r>
          </w:p>
        </w:tc>
      </w:tr>
      <w:tr w:rsidR="00B2653E" w:rsidRPr="008E68BA" w14:paraId="31B114EB" w14:textId="77777777" w:rsidTr="00DF2819">
        <w:trPr>
          <w:trHeight w:val="268"/>
        </w:trPr>
        <w:tc>
          <w:tcPr>
            <w:tcW w:w="1229" w:type="dxa"/>
            <w:vAlign w:val="center"/>
          </w:tcPr>
          <w:p w14:paraId="1BDBCDED"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Dumfries &amp; Galloway</w:t>
            </w:r>
          </w:p>
        </w:tc>
        <w:tc>
          <w:tcPr>
            <w:tcW w:w="1017" w:type="dxa"/>
            <w:shd w:val="clear" w:color="auto" w:fill="auto"/>
            <w:vAlign w:val="center"/>
          </w:tcPr>
          <w:p w14:paraId="5A77C8C6"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12,435</w:t>
            </w:r>
          </w:p>
        </w:tc>
        <w:tc>
          <w:tcPr>
            <w:tcW w:w="1101" w:type="dxa"/>
            <w:shd w:val="clear" w:color="auto" w:fill="auto"/>
            <w:vAlign w:val="center"/>
          </w:tcPr>
          <w:p w14:paraId="405E3F4D"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319</w:t>
            </w:r>
          </w:p>
        </w:tc>
        <w:tc>
          <w:tcPr>
            <w:tcW w:w="1189" w:type="dxa"/>
            <w:shd w:val="clear" w:color="auto" w:fill="auto"/>
            <w:tcMar>
              <w:right w:w="170" w:type="dxa"/>
            </w:tcMar>
            <w:vAlign w:val="center"/>
          </w:tcPr>
          <w:p w14:paraId="7AAF51F9"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25</w:t>
            </w:r>
          </w:p>
        </w:tc>
        <w:tc>
          <w:tcPr>
            <w:tcW w:w="1134" w:type="dxa"/>
            <w:shd w:val="clear" w:color="auto" w:fill="auto"/>
            <w:tcMar>
              <w:right w:w="170" w:type="dxa"/>
            </w:tcMar>
            <w:vAlign w:val="center"/>
          </w:tcPr>
          <w:p w14:paraId="32E8B7F7"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9</w:t>
            </w:r>
          </w:p>
        </w:tc>
        <w:tc>
          <w:tcPr>
            <w:tcW w:w="1134" w:type="dxa"/>
            <w:shd w:val="clear" w:color="auto" w:fill="auto"/>
            <w:tcMar>
              <w:right w:w="170" w:type="dxa"/>
            </w:tcMar>
            <w:vAlign w:val="center"/>
          </w:tcPr>
          <w:p w14:paraId="24E657F9"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21</w:t>
            </w:r>
          </w:p>
        </w:tc>
        <w:tc>
          <w:tcPr>
            <w:tcW w:w="851" w:type="dxa"/>
            <w:shd w:val="clear" w:color="auto" w:fill="auto"/>
            <w:vAlign w:val="center"/>
          </w:tcPr>
          <w:p w14:paraId="33C9ABBF"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2.6%</w:t>
            </w:r>
          </w:p>
        </w:tc>
        <w:tc>
          <w:tcPr>
            <w:tcW w:w="1134" w:type="dxa"/>
            <w:shd w:val="clear" w:color="auto" w:fill="auto"/>
            <w:tcMar>
              <w:right w:w="170" w:type="dxa"/>
            </w:tcMar>
            <w:vAlign w:val="center"/>
          </w:tcPr>
          <w:p w14:paraId="5ACE9261"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0.2%</w:t>
            </w:r>
          </w:p>
        </w:tc>
        <w:tc>
          <w:tcPr>
            <w:tcW w:w="850" w:type="dxa"/>
            <w:shd w:val="clear" w:color="auto" w:fill="auto"/>
            <w:tcMar>
              <w:right w:w="170" w:type="dxa"/>
            </w:tcMar>
            <w:vAlign w:val="center"/>
          </w:tcPr>
          <w:p w14:paraId="41D284D4"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0.1%</w:t>
            </w:r>
          </w:p>
        </w:tc>
        <w:tc>
          <w:tcPr>
            <w:tcW w:w="851" w:type="dxa"/>
            <w:shd w:val="clear" w:color="auto" w:fill="auto"/>
            <w:tcMar>
              <w:right w:w="170" w:type="dxa"/>
            </w:tcMar>
            <w:vAlign w:val="center"/>
          </w:tcPr>
          <w:p w14:paraId="443EA0F1"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0.2%</w:t>
            </w:r>
          </w:p>
        </w:tc>
      </w:tr>
      <w:tr w:rsidR="00B2653E" w:rsidRPr="008E68BA" w14:paraId="6451A555" w14:textId="77777777" w:rsidTr="00DF2819">
        <w:trPr>
          <w:trHeight w:val="268"/>
        </w:trPr>
        <w:tc>
          <w:tcPr>
            <w:tcW w:w="1229" w:type="dxa"/>
            <w:vAlign w:val="center"/>
          </w:tcPr>
          <w:p w14:paraId="717C4D44"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Fife</w:t>
            </w:r>
          </w:p>
        </w:tc>
        <w:tc>
          <w:tcPr>
            <w:tcW w:w="1017" w:type="dxa"/>
            <w:shd w:val="clear" w:color="auto" w:fill="auto"/>
            <w:vAlign w:val="center"/>
          </w:tcPr>
          <w:p w14:paraId="48AD17FF"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39,633</w:t>
            </w:r>
          </w:p>
        </w:tc>
        <w:tc>
          <w:tcPr>
            <w:tcW w:w="1101" w:type="dxa"/>
            <w:shd w:val="clear" w:color="auto" w:fill="auto"/>
            <w:vAlign w:val="center"/>
          </w:tcPr>
          <w:p w14:paraId="337E79DD"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785</w:t>
            </w:r>
          </w:p>
        </w:tc>
        <w:tc>
          <w:tcPr>
            <w:tcW w:w="1189" w:type="dxa"/>
            <w:shd w:val="clear" w:color="auto" w:fill="auto"/>
            <w:tcMar>
              <w:right w:w="170" w:type="dxa"/>
            </w:tcMar>
            <w:vAlign w:val="center"/>
          </w:tcPr>
          <w:p w14:paraId="1615E02A"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58</w:t>
            </w:r>
          </w:p>
        </w:tc>
        <w:tc>
          <w:tcPr>
            <w:tcW w:w="1134" w:type="dxa"/>
            <w:shd w:val="clear" w:color="auto" w:fill="auto"/>
            <w:tcMar>
              <w:right w:w="170" w:type="dxa"/>
            </w:tcMar>
            <w:vAlign w:val="center"/>
          </w:tcPr>
          <w:p w14:paraId="60456CAB"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52</w:t>
            </w:r>
          </w:p>
        </w:tc>
        <w:tc>
          <w:tcPr>
            <w:tcW w:w="1134" w:type="dxa"/>
            <w:shd w:val="clear" w:color="auto" w:fill="auto"/>
            <w:tcMar>
              <w:right w:w="170" w:type="dxa"/>
            </w:tcMar>
            <w:vAlign w:val="center"/>
          </w:tcPr>
          <w:p w14:paraId="6266CBEA"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286</w:t>
            </w:r>
          </w:p>
        </w:tc>
        <w:tc>
          <w:tcPr>
            <w:tcW w:w="851" w:type="dxa"/>
            <w:shd w:val="clear" w:color="auto" w:fill="auto"/>
            <w:vAlign w:val="center"/>
          </w:tcPr>
          <w:p w14:paraId="1CA9AA26"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2.0%</w:t>
            </w:r>
          </w:p>
        </w:tc>
        <w:tc>
          <w:tcPr>
            <w:tcW w:w="1134" w:type="dxa"/>
            <w:shd w:val="clear" w:color="auto" w:fill="auto"/>
            <w:tcMar>
              <w:right w:w="170" w:type="dxa"/>
            </w:tcMar>
            <w:vAlign w:val="center"/>
          </w:tcPr>
          <w:p w14:paraId="33F13AFD"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0.1%</w:t>
            </w:r>
          </w:p>
        </w:tc>
        <w:tc>
          <w:tcPr>
            <w:tcW w:w="850" w:type="dxa"/>
            <w:shd w:val="clear" w:color="auto" w:fill="auto"/>
            <w:tcMar>
              <w:right w:w="170" w:type="dxa"/>
            </w:tcMar>
            <w:vAlign w:val="center"/>
          </w:tcPr>
          <w:p w14:paraId="4870C4D1"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0.1%</w:t>
            </w:r>
          </w:p>
        </w:tc>
        <w:tc>
          <w:tcPr>
            <w:tcW w:w="851" w:type="dxa"/>
            <w:shd w:val="clear" w:color="auto" w:fill="auto"/>
            <w:tcMar>
              <w:right w:w="170" w:type="dxa"/>
            </w:tcMar>
            <w:vAlign w:val="center"/>
          </w:tcPr>
          <w:p w14:paraId="293B55A7"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0.7%</w:t>
            </w:r>
          </w:p>
        </w:tc>
      </w:tr>
      <w:tr w:rsidR="00B2653E" w:rsidRPr="008E68BA" w14:paraId="6E27B937" w14:textId="77777777" w:rsidTr="00DF2819">
        <w:trPr>
          <w:trHeight w:val="268"/>
        </w:trPr>
        <w:tc>
          <w:tcPr>
            <w:tcW w:w="1229" w:type="dxa"/>
            <w:vAlign w:val="center"/>
          </w:tcPr>
          <w:p w14:paraId="2B409A87"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Forth Valley</w:t>
            </w:r>
          </w:p>
        </w:tc>
        <w:tc>
          <w:tcPr>
            <w:tcW w:w="1017" w:type="dxa"/>
            <w:shd w:val="clear" w:color="auto" w:fill="auto"/>
            <w:vAlign w:val="center"/>
          </w:tcPr>
          <w:p w14:paraId="6874EF0D"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34,824</w:t>
            </w:r>
          </w:p>
        </w:tc>
        <w:tc>
          <w:tcPr>
            <w:tcW w:w="1101" w:type="dxa"/>
            <w:shd w:val="clear" w:color="auto" w:fill="auto"/>
            <w:vAlign w:val="center"/>
          </w:tcPr>
          <w:p w14:paraId="6903C6E6"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794</w:t>
            </w:r>
          </w:p>
        </w:tc>
        <w:tc>
          <w:tcPr>
            <w:tcW w:w="1189" w:type="dxa"/>
            <w:shd w:val="clear" w:color="auto" w:fill="auto"/>
            <w:tcMar>
              <w:right w:w="170" w:type="dxa"/>
            </w:tcMar>
            <w:vAlign w:val="center"/>
          </w:tcPr>
          <w:p w14:paraId="50F24516"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96</w:t>
            </w:r>
          </w:p>
        </w:tc>
        <w:tc>
          <w:tcPr>
            <w:tcW w:w="1134" w:type="dxa"/>
            <w:shd w:val="clear" w:color="auto" w:fill="auto"/>
            <w:tcMar>
              <w:right w:w="170" w:type="dxa"/>
            </w:tcMar>
            <w:vAlign w:val="center"/>
          </w:tcPr>
          <w:p w14:paraId="79514D88"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85</w:t>
            </w:r>
          </w:p>
        </w:tc>
        <w:tc>
          <w:tcPr>
            <w:tcW w:w="1134" w:type="dxa"/>
            <w:shd w:val="clear" w:color="auto" w:fill="auto"/>
            <w:tcMar>
              <w:right w:w="170" w:type="dxa"/>
            </w:tcMar>
            <w:vAlign w:val="center"/>
          </w:tcPr>
          <w:p w14:paraId="3F1853DE"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202</w:t>
            </w:r>
          </w:p>
        </w:tc>
        <w:tc>
          <w:tcPr>
            <w:tcW w:w="851" w:type="dxa"/>
            <w:shd w:val="clear" w:color="auto" w:fill="auto"/>
            <w:vAlign w:val="center"/>
          </w:tcPr>
          <w:p w14:paraId="2356300F"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2.3%</w:t>
            </w:r>
          </w:p>
        </w:tc>
        <w:tc>
          <w:tcPr>
            <w:tcW w:w="1134" w:type="dxa"/>
            <w:shd w:val="clear" w:color="auto" w:fill="auto"/>
            <w:tcMar>
              <w:right w:w="170" w:type="dxa"/>
            </w:tcMar>
            <w:vAlign w:val="center"/>
          </w:tcPr>
          <w:p w14:paraId="3C7E8312"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0.3%</w:t>
            </w:r>
          </w:p>
        </w:tc>
        <w:tc>
          <w:tcPr>
            <w:tcW w:w="850" w:type="dxa"/>
            <w:shd w:val="clear" w:color="auto" w:fill="auto"/>
            <w:tcMar>
              <w:right w:w="170" w:type="dxa"/>
            </w:tcMar>
            <w:vAlign w:val="center"/>
          </w:tcPr>
          <w:p w14:paraId="5C77184A"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0.2%</w:t>
            </w:r>
          </w:p>
        </w:tc>
        <w:tc>
          <w:tcPr>
            <w:tcW w:w="851" w:type="dxa"/>
            <w:shd w:val="clear" w:color="auto" w:fill="auto"/>
            <w:tcMar>
              <w:right w:w="170" w:type="dxa"/>
            </w:tcMar>
            <w:vAlign w:val="center"/>
          </w:tcPr>
          <w:p w14:paraId="5FEBA50C"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0.6%</w:t>
            </w:r>
          </w:p>
        </w:tc>
      </w:tr>
      <w:tr w:rsidR="00B2653E" w:rsidRPr="008E68BA" w14:paraId="1C7E569C" w14:textId="77777777" w:rsidTr="00DF2819">
        <w:trPr>
          <w:trHeight w:val="268"/>
        </w:trPr>
        <w:tc>
          <w:tcPr>
            <w:tcW w:w="1229" w:type="dxa"/>
            <w:vAlign w:val="center"/>
          </w:tcPr>
          <w:p w14:paraId="04F9567D"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Golden Jubilee</w:t>
            </w:r>
          </w:p>
        </w:tc>
        <w:tc>
          <w:tcPr>
            <w:tcW w:w="1017" w:type="dxa"/>
            <w:shd w:val="clear" w:color="auto" w:fill="auto"/>
            <w:vAlign w:val="center"/>
          </w:tcPr>
          <w:p w14:paraId="6C77B547"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34</w:t>
            </w:r>
          </w:p>
        </w:tc>
        <w:tc>
          <w:tcPr>
            <w:tcW w:w="1101" w:type="dxa"/>
            <w:shd w:val="clear" w:color="auto" w:fill="auto"/>
            <w:vAlign w:val="center"/>
          </w:tcPr>
          <w:p w14:paraId="477243A7"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18</w:t>
            </w:r>
          </w:p>
        </w:tc>
        <w:tc>
          <w:tcPr>
            <w:tcW w:w="1189" w:type="dxa"/>
            <w:shd w:val="clear" w:color="auto" w:fill="auto"/>
            <w:tcMar>
              <w:right w:w="170" w:type="dxa"/>
            </w:tcMar>
            <w:vAlign w:val="center"/>
          </w:tcPr>
          <w:p w14:paraId="059A3603"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8</w:t>
            </w:r>
          </w:p>
        </w:tc>
        <w:tc>
          <w:tcPr>
            <w:tcW w:w="1134" w:type="dxa"/>
            <w:shd w:val="clear" w:color="auto" w:fill="auto"/>
            <w:tcMar>
              <w:right w:w="170" w:type="dxa"/>
            </w:tcMar>
            <w:vAlign w:val="center"/>
          </w:tcPr>
          <w:p w14:paraId="0816CA7D"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3</w:t>
            </w:r>
          </w:p>
        </w:tc>
        <w:tc>
          <w:tcPr>
            <w:tcW w:w="1134" w:type="dxa"/>
            <w:shd w:val="clear" w:color="auto" w:fill="auto"/>
            <w:tcMar>
              <w:right w:w="170" w:type="dxa"/>
            </w:tcMar>
            <w:vAlign w:val="center"/>
          </w:tcPr>
          <w:p w14:paraId="6D62D621"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5</w:t>
            </w:r>
          </w:p>
        </w:tc>
        <w:tc>
          <w:tcPr>
            <w:tcW w:w="851" w:type="dxa"/>
            <w:shd w:val="clear" w:color="auto" w:fill="auto"/>
            <w:vAlign w:val="center"/>
          </w:tcPr>
          <w:p w14:paraId="03BD9D16" w14:textId="77777777" w:rsidR="00B2653E" w:rsidRPr="008E68BA" w:rsidRDefault="00B2653E" w:rsidP="008E68BA">
            <w:pPr>
              <w:rPr>
                <w:rFonts w:ascii="Arial" w:hAnsi="Arial" w:cs="Arial"/>
                <w:color w:val="000000" w:themeColor="text1"/>
              </w:rPr>
            </w:pPr>
            <w:r w:rsidRPr="008E68BA">
              <w:rPr>
                <w:rFonts w:ascii="Arial" w:hAnsi="Arial" w:cs="Arial"/>
                <w:color w:val="333333"/>
              </w:rPr>
              <w:t>-</w:t>
            </w:r>
          </w:p>
        </w:tc>
        <w:tc>
          <w:tcPr>
            <w:tcW w:w="1134" w:type="dxa"/>
            <w:shd w:val="clear" w:color="auto" w:fill="auto"/>
            <w:tcMar>
              <w:right w:w="170" w:type="dxa"/>
            </w:tcMar>
            <w:vAlign w:val="center"/>
          </w:tcPr>
          <w:p w14:paraId="1C401A74" w14:textId="77777777" w:rsidR="00B2653E" w:rsidRPr="008E68BA" w:rsidRDefault="00B2653E" w:rsidP="008E68BA">
            <w:pPr>
              <w:rPr>
                <w:rFonts w:ascii="Arial" w:hAnsi="Arial" w:cs="Arial"/>
                <w:color w:val="000000" w:themeColor="text1"/>
              </w:rPr>
            </w:pPr>
            <w:r w:rsidRPr="008E68BA">
              <w:rPr>
                <w:rFonts w:ascii="Arial" w:hAnsi="Arial" w:cs="Arial"/>
                <w:color w:val="333333"/>
              </w:rPr>
              <w:t>-</w:t>
            </w:r>
          </w:p>
        </w:tc>
        <w:tc>
          <w:tcPr>
            <w:tcW w:w="850" w:type="dxa"/>
            <w:shd w:val="clear" w:color="auto" w:fill="auto"/>
            <w:tcMar>
              <w:right w:w="170" w:type="dxa"/>
            </w:tcMar>
            <w:vAlign w:val="center"/>
          </w:tcPr>
          <w:p w14:paraId="6243963A" w14:textId="77777777" w:rsidR="00B2653E" w:rsidRPr="008E68BA" w:rsidRDefault="00B2653E" w:rsidP="008E68BA">
            <w:pPr>
              <w:rPr>
                <w:rFonts w:ascii="Arial" w:hAnsi="Arial" w:cs="Arial"/>
                <w:color w:val="000000" w:themeColor="text1"/>
              </w:rPr>
            </w:pPr>
            <w:r w:rsidRPr="008E68BA">
              <w:rPr>
                <w:rFonts w:ascii="Arial" w:hAnsi="Arial" w:cs="Arial"/>
                <w:color w:val="333333"/>
              </w:rPr>
              <w:t>-</w:t>
            </w:r>
          </w:p>
        </w:tc>
        <w:tc>
          <w:tcPr>
            <w:tcW w:w="851" w:type="dxa"/>
            <w:shd w:val="clear" w:color="auto" w:fill="auto"/>
            <w:tcMar>
              <w:right w:w="170" w:type="dxa"/>
            </w:tcMar>
            <w:vAlign w:val="center"/>
          </w:tcPr>
          <w:p w14:paraId="55E710DA" w14:textId="77777777" w:rsidR="00B2653E" w:rsidRPr="008E68BA" w:rsidRDefault="00B2653E" w:rsidP="008E68BA">
            <w:pPr>
              <w:rPr>
                <w:rFonts w:ascii="Arial" w:hAnsi="Arial" w:cs="Arial"/>
                <w:color w:val="000000" w:themeColor="text1"/>
              </w:rPr>
            </w:pPr>
            <w:r w:rsidRPr="008E68BA">
              <w:rPr>
                <w:rFonts w:ascii="Arial" w:hAnsi="Arial" w:cs="Arial"/>
                <w:color w:val="333333"/>
              </w:rPr>
              <w:t>-</w:t>
            </w:r>
          </w:p>
        </w:tc>
      </w:tr>
      <w:tr w:rsidR="00B2653E" w:rsidRPr="008E68BA" w14:paraId="6D2B2476" w14:textId="77777777" w:rsidTr="00DF2819">
        <w:trPr>
          <w:trHeight w:val="268"/>
        </w:trPr>
        <w:tc>
          <w:tcPr>
            <w:tcW w:w="1229" w:type="dxa"/>
            <w:vAlign w:val="center"/>
          </w:tcPr>
          <w:p w14:paraId="35CD693A"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Grampian</w:t>
            </w:r>
          </w:p>
        </w:tc>
        <w:tc>
          <w:tcPr>
            <w:tcW w:w="1017" w:type="dxa"/>
            <w:shd w:val="clear" w:color="auto" w:fill="auto"/>
            <w:vAlign w:val="center"/>
          </w:tcPr>
          <w:p w14:paraId="244AA5A5"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45,331</w:t>
            </w:r>
          </w:p>
        </w:tc>
        <w:tc>
          <w:tcPr>
            <w:tcW w:w="1101" w:type="dxa"/>
            <w:shd w:val="clear" w:color="auto" w:fill="auto"/>
            <w:vAlign w:val="center"/>
          </w:tcPr>
          <w:p w14:paraId="5EC18108"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582</w:t>
            </w:r>
          </w:p>
        </w:tc>
        <w:tc>
          <w:tcPr>
            <w:tcW w:w="1189" w:type="dxa"/>
            <w:shd w:val="clear" w:color="auto" w:fill="auto"/>
            <w:tcMar>
              <w:right w:w="170" w:type="dxa"/>
            </w:tcMar>
            <w:vAlign w:val="center"/>
          </w:tcPr>
          <w:p w14:paraId="408004CB"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77</w:t>
            </w:r>
          </w:p>
        </w:tc>
        <w:tc>
          <w:tcPr>
            <w:tcW w:w="1134" w:type="dxa"/>
            <w:shd w:val="clear" w:color="auto" w:fill="auto"/>
            <w:tcMar>
              <w:right w:w="170" w:type="dxa"/>
            </w:tcMar>
            <w:vAlign w:val="center"/>
          </w:tcPr>
          <w:p w14:paraId="0A44C760"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69</w:t>
            </w:r>
          </w:p>
        </w:tc>
        <w:tc>
          <w:tcPr>
            <w:tcW w:w="1134" w:type="dxa"/>
            <w:shd w:val="clear" w:color="auto" w:fill="auto"/>
            <w:tcMar>
              <w:right w:w="170" w:type="dxa"/>
            </w:tcMar>
            <w:vAlign w:val="center"/>
          </w:tcPr>
          <w:p w14:paraId="0BA1695F"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205</w:t>
            </w:r>
          </w:p>
        </w:tc>
        <w:tc>
          <w:tcPr>
            <w:tcW w:w="851" w:type="dxa"/>
            <w:shd w:val="clear" w:color="auto" w:fill="auto"/>
            <w:vAlign w:val="center"/>
          </w:tcPr>
          <w:p w14:paraId="4A541D87"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1.3%</w:t>
            </w:r>
          </w:p>
        </w:tc>
        <w:tc>
          <w:tcPr>
            <w:tcW w:w="1134" w:type="dxa"/>
            <w:shd w:val="clear" w:color="auto" w:fill="auto"/>
            <w:tcMar>
              <w:right w:w="170" w:type="dxa"/>
            </w:tcMar>
            <w:vAlign w:val="center"/>
          </w:tcPr>
          <w:p w14:paraId="17FDB0D7"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0.2%</w:t>
            </w:r>
          </w:p>
        </w:tc>
        <w:tc>
          <w:tcPr>
            <w:tcW w:w="850" w:type="dxa"/>
            <w:shd w:val="clear" w:color="auto" w:fill="auto"/>
            <w:tcMar>
              <w:right w:w="170" w:type="dxa"/>
            </w:tcMar>
            <w:vAlign w:val="center"/>
          </w:tcPr>
          <w:p w14:paraId="7A75F80D"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0.2%</w:t>
            </w:r>
          </w:p>
        </w:tc>
        <w:tc>
          <w:tcPr>
            <w:tcW w:w="851" w:type="dxa"/>
            <w:shd w:val="clear" w:color="auto" w:fill="auto"/>
            <w:tcMar>
              <w:right w:w="170" w:type="dxa"/>
            </w:tcMar>
            <w:vAlign w:val="center"/>
          </w:tcPr>
          <w:p w14:paraId="1ABA03A9"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0.5%</w:t>
            </w:r>
          </w:p>
        </w:tc>
      </w:tr>
      <w:tr w:rsidR="00B2653E" w:rsidRPr="008E68BA" w14:paraId="37BF7FAB" w14:textId="77777777" w:rsidTr="00DF2819">
        <w:trPr>
          <w:trHeight w:val="268"/>
        </w:trPr>
        <w:tc>
          <w:tcPr>
            <w:tcW w:w="1229" w:type="dxa"/>
            <w:shd w:val="clear" w:color="auto" w:fill="B4C6E7" w:themeFill="accent5" w:themeFillTint="66"/>
            <w:vAlign w:val="center"/>
          </w:tcPr>
          <w:p w14:paraId="2B22BA4E" w14:textId="77777777" w:rsidR="00B2653E" w:rsidRPr="008E68BA" w:rsidRDefault="00B2653E" w:rsidP="008E68BA">
            <w:pPr>
              <w:pStyle w:val="TableBody"/>
              <w:rPr>
                <w:rFonts w:cs="Arial"/>
                <w:b/>
                <w:color w:val="000000" w:themeColor="text1"/>
                <w:sz w:val="24"/>
                <w:szCs w:val="24"/>
              </w:rPr>
            </w:pPr>
            <w:r w:rsidRPr="008E68BA">
              <w:rPr>
                <w:rFonts w:cs="Arial"/>
                <w:b/>
                <w:color w:val="000000" w:themeColor="text1"/>
                <w:sz w:val="24"/>
                <w:szCs w:val="24"/>
              </w:rPr>
              <w:t>Greater Glasgow &amp; Clyde</w:t>
            </w:r>
          </w:p>
        </w:tc>
        <w:tc>
          <w:tcPr>
            <w:tcW w:w="1017" w:type="dxa"/>
            <w:shd w:val="clear" w:color="auto" w:fill="B4C6E7" w:themeFill="accent5" w:themeFillTint="66"/>
            <w:vAlign w:val="center"/>
          </w:tcPr>
          <w:p w14:paraId="6E520A7D" w14:textId="77777777" w:rsidR="00B2653E" w:rsidRPr="008E68BA" w:rsidRDefault="00B2653E" w:rsidP="008E68BA">
            <w:pPr>
              <w:rPr>
                <w:rFonts w:ascii="Arial" w:hAnsi="Arial" w:cs="Arial"/>
                <w:b/>
                <w:color w:val="000000" w:themeColor="text1"/>
                <w:highlight w:val="yellow"/>
              </w:rPr>
            </w:pPr>
            <w:r w:rsidRPr="008E68BA">
              <w:rPr>
                <w:rFonts w:ascii="Arial" w:hAnsi="Arial" w:cs="Arial"/>
                <w:b/>
                <w:color w:val="333333"/>
              </w:rPr>
              <w:t>174,473</w:t>
            </w:r>
          </w:p>
        </w:tc>
        <w:tc>
          <w:tcPr>
            <w:tcW w:w="1101" w:type="dxa"/>
            <w:shd w:val="clear" w:color="auto" w:fill="B4C6E7" w:themeFill="accent5" w:themeFillTint="66"/>
            <w:vAlign w:val="center"/>
          </w:tcPr>
          <w:p w14:paraId="5C695A8A" w14:textId="77777777" w:rsidR="00B2653E" w:rsidRPr="008E68BA" w:rsidRDefault="00B2653E" w:rsidP="008E68BA">
            <w:pPr>
              <w:rPr>
                <w:rFonts w:ascii="Arial" w:hAnsi="Arial" w:cs="Arial"/>
                <w:b/>
                <w:color w:val="000000" w:themeColor="text1"/>
                <w:highlight w:val="yellow"/>
              </w:rPr>
            </w:pPr>
            <w:r w:rsidRPr="008E68BA">
              <w:rPr>
                <w:rFonts w:ascii="Arial" w:hAnsi="Arial" w:cs="Arial"/>
                <w:b/>
                <w:color w:val="333333"/>
              </w:rPr>
              <w:t>3,682</w:t>
            </w:r>
          </w:p>
        </w:tc>
        <w:tc>
          <w:tcPr>
            <w:tcW w:w="1189" w:type="dxa"/>
            <w:shd w:val="clear" w:color="auto" w:fill="B4C6E7" w:themeFill="accent5" w:themeFillTint="66"/>
            <w:tcMar>
              <w:right w:w="170" w:type="dxa"/>
            </w:tcMar>
            <w:vAlign w:val="center"/>
          </w:tcPr>
          <w:p w14:paraId="50C34729" w14:textId="77777777" w:rsidR="00B2653E" w:rsidRPr="008E68BA" w:rsidRDefault="00B2653E" w:rsidP="008E68BA">
            <w:pPr>
              <w:rPr>
                <w:rFonts w:ascii="Arial" w:hAnsi="Arial" w:cs="Arial"/>
                <w:b/>
                <w:color w:val="000000" w:themeColor="text1"/>
                <w:highlight w:val="yellow"/>
              </w:rPr>
            </w:pPr>
            <w:r w:rsidRPr="008E68BA">
              <w:rPr>
                <w:rFonts w:ascii="Arial" w:hAnsi="Arial" w:cs="Arial"/>
                <w:b/>
                <w:color w:val="333333"/>
              </w:rPr>
              <w:t>590</w:t>
            </w:r>
          </w:p>
        </w:tc>
        <w:tc>
          <w:tcPr>
            <w:tcW w:w="1134" w:type="dxa"/>
            <w:shd w:val="clear" w:color="auto" w:fill="B4C6E7" w:themeFill="accent5" w:themeFillTint="66"/>
            <w:tcMar>
              <w:right w:w="170" w:type="dxa"/>
            </w:tcMar>
            <w:vAlign w:val="center"/>
          </w:tcPr>
          <w:p w14:paraId="6E8DC05D" w14:textId="77777777" w:rsidR="00B2653E" w:rsidRPr="008E68BA" w:rsidRDefault="00B2653E" w:rsidP="008E68BA">
            <w:pPr>
              <w:rPr>
                <w:rFonts w:ascii="Arial" w:hAnsi="Arial" w:cs="Arial"/>
                <w:b/>
                <w:color w:val="000000" w:themeColor="text1"/>
                <w:highlight w:val="yellow"/>
              </w:rPr>
            </w:pPr>
            <w:r w:rsidRPr="008E68BA">
              <w:rPr>
                <w:rFonts w:ascii="Arial" w:hAnsi="Arial" w:cs="Arial"/>
                <w:b/>
                <w:color w:val="333333"/>
              </w:rPr>
              <w:t>636</w:t>
            </w:r>
          </w:p>
        </w:tc>
        <w:tc>
          <w:tcPr>
            <w:tcW w:w="1134" w:type="dxa"/>
            <w:shd w:val="clear" w:color="auto" w:fill="B4C6E7" w:themeFill="accent5" w:themeFillTint="66"/>
            <w:tcMar>
              <w:right w:w="170" w:type="dxa"/>
            </w:tcMar>
            <w:vAlign w:val="center"/>
          </w:tcPr>
          <w:p w14:paraId="4F19B322" w14:textId="77777777" w:rsidR="00B2653E" w:rsidRPr="008E68BA" w:rsidRDefault="00B2653E" w:rsidP="008E68BA">
            <w:pPr>
              <w:rPr>
                <w:rFonts w:ascii="Arial" w:hAnsi="Arial" w:cs="Arial"/>
                <w:b/>
                <w:color w:val="000000" w:themeColor="text1"/>
                <w:highlight w:val="yellow"/>
              </w:rPr>
            </w:pPr>
            <w:r w:rsidRPr="008E68BA">
              <w:rPr>
                <w:rFonts w:ascii="Arial" w:hAnsi="Arial" w:cs="Arial"/>
                <w:b/>
                <w:color w:val="333333"/>
              </w:rPr>
              <w:t>1,490</w:t>
            </w:r>
          </w:p>
        </w:tc>
        <w:tc>
          <w:tcPr>
            <w:tcW w:w="851" w:type="dxa"/>
            <w:shd w:val="clear" w:color="auto" w:fill="B4C6E7" w:themeFill="accent5" w:themeFillTint="66"/>
            <w:vAlign w:val="center"/>
          </w:tcPr>
          <w:p w14:paraId="27FA093A" w14:textId="77777777" w:rsidR="00B2653E" w:rsidRPr="008E68BA" w:rsidRDefault="00B2653E" w:rsidP="008E68BA">
            <w:pPr>
              <w:rPr>
                <w:rFonts w:ascii="Arial" w:hAnsi="Arial" w:cs="Arial"/>
                <w:b/>
                <w:color w:val="000000" w:themeColor="text1"/>
                <w:highlight w:val="yellow"/>
              </w:rPr>
            </w:pPr>
            <w:r w:rsidRPr="008E68BA">
              <w:rPr>
                <w:rFonts w:ascii="Arial" w:hAnsi="Arial" w:cs="Arial"/>
                <w:b/>
                <w:color w:val="333333"/>
              </w:rPr>
              <w:t>2.1%</w:t>
            </w:r>
          </w:p>
        </w:tc>
        <w:tc>
          <w:tcPr>
            <w:tcW w:w="1134" w:type="dxa"/>
            <w:shd w:val="clear" w:color="auto" w:fill="B4C6E7" w:themeFill="accent5" w:themeFillTint="66"/>
            <w:tcMar>
              <w:right w:w="170" w:type="dxa"/>
            </w:tcMar>
            <w:vAlign w:val="center"/>
          </w:tcPr>
          <w:p w14:paraId="3E40C2CC" w14:textId="77777777" w:rsidR="00B2653E" w:rsidRPr="008E68BA" w:rsidRDefault="00B2653E" w:rsidP="008E68BA">
            <w:pPr>
              <w:rPr>
                <w:rFonts w:ascii="Arial" w:hAnsi="Arial" w:cs="Arial"/>
                <w:b/>
                <w:color w:val="000000" w:themeColor="text1"/>
                <w:highlight w:val="yellow"/>
              </w:rPr>
            </w:pPr>
            <w:r w:rsidRPr="008E68BA">
              <w:rPr>
                <w:rFonts w:ascii="Arial" w:hAnsi="Arial" w:cs="Arial"/>
                <w:b/>
                <w:color w:val="333333"/>
              </w:rPr>
              <w:t>0.3%</w:t>
            </w:r>
          </w:p>
        </w:tc>
        <w:tc>
          <w:tcPr>
            <w:tcW w:w="850" w:type="dxa"/>
            <w:shd w:val="clear" w:color="auto" w:fill="B4C6E7" w:themeFill="accent5" w:themeFillTint="66"/>
            <w:tcMar>
              <w:right w:w="170" w:type="dxa"/>
            </w:tcMar>
            <w:vAlign w:val="center"/>
          </w:tcPr>
          <w:p w14:paraId="557DE5F3" w14:textId="77777777" w:rsidR="00B2653E" w:rsidRPr="008E68BA" w:rsidRDefault="00B2653E" w:rsidP="008E68BA">
            <w:pPr>
              <w:rPr>
                <w:rFonts w:ascii="Arial" w:hAnsi="Arial" w:cs="Arial"/>
                <w:b/>
                <w:color w:val="000000" w:themeColor="text1"/>
                <w:highlight w:val="yellow"/>
              </w:rPr>
            </w:pPr>
            <w:r w:rsidRPr="008E68BA">
              <w:rPr>
                <w:rFonts w:ascii="Arial" w:hAnsi="Arial" w:cs="Arial"/>
                <w:b/>
                <w:color w:val="333333"/>
              </w:rPr>
              <w:t>0.4%</w:t>
            </w:r>
          </w:p>
        </w:tc>
        <w:tc>
          <w:tcPr>
            <w:tcW w:w="851" w:type="dxa"/>
            <w:shd w:val="clear" w:color="auto" w:fill="B4C6E7" w:themeFill="accent5" w:themeFillTint="66"/>
            <w:tcMar>
              <w:right w:w="170" w:type="dxa"/>
            </w:tcMar>
            <w:vAlign w:val="center"/>
          </w:tcPr>
          <w:p w14:paraId="59EB6CF3" w14:textId="77777777" w:rsidR="00B2653E" w:rsidRPr="008E68BA" w:rsidRDefault="00B2653E" w:rsidP="008E68BA">
            <w:pPr>
              <w:rPr>
                <w:rFonts w:ascii="Arial" w:hAnsi="Arial" w:cs="Arial"/>
                <w:b/>
                <w:color w:val="000000" w:themeColor="text1"/>
                <w:highlight w:val="yellow"/>
              </w:rPr>
            </w:pPr>
            <w:r w:rsidRPr="008E68BA">
              <w:rPr>
                <w:rFonts w:ascii="Arial" w:hAnsi="Arial" w:cs="Arial"/>
                <w:b/>
                <w:color w:val="333333"/>
              </w:rPr>
              <w:t>0.9%</w:t>
            </w:r>
          </w:p>
        </w:tc>
      </w:tr>
      <w:tr w:rsidR="00B2653E" w:rsidRPr="008E68BA" w14:paraId="6BCE4CD7" w14:textId="77777777" w:rsidTr="00DF2819">
        <w:trPr>
          <w:trHeight w:val="268"/>
        </w:trPr>
        <w:tc>
          <w:tcPr>
            <w:tcW w:w="1229" w:type="dxa"/>
            <w:vAlign w:val="center"/>
          </w:tcPr>
          <w:p w14:paraId="48919159"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Highland</w:t>
            </w:r>
          </w:p>
        </w:tc>
        <w:tc>
          <w:tcPr>
            <w:tcW w:w="1017" w:type="dxa"/>
            <w:shd w:val="clear" w:color="auto" w:fill="auto"/>
            <w:vAlign w:val="center"/>
          </w:tcPr>
          <w:p w14:paraId="1381CF16"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21,530</w:t>
            </w:r>
          </w:p>
        </w:tc>
        <w:tc>
          <w:tcPr>
            <w:tcW w:w="1101" w:type="dxa"/>
            <w:shd w:val="clear" w:color="auto" w:fill="auto"/>
            <w:vAlign w:val="center"/>
          </w:tcPr>
          <w:p w14:paraId="75F24AF7"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248</w:t>
            </w:r>
          </w:p>
        </w:tc>
        <w:tc>
          <w:tcPr>
            <w:tcW w:w="1189" w:type="dxa"/>
            <w:shd w:val="clear" w:color="auto" w:fill="auto"/>
            <w:tcMar>
              <w:right w:w="170" w:type="dxa"/>
            </w:tcMar>
            <w:vAlign w:val="center"/>
          </w:tcPr>
          <w:p w14:paraId="6B32ECF9"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15</w:t>
            </w:r>
          </w:p>
        </w:tc>
        <w:tc>
          <w:tcPr>
            <w:tcW w:w="1134" w:type="dxa"/>
            <w:shd w:val="clear" w:color="auto" w:fill="auto"/>
            <w:tcMar>
              <w:right w:w="170" w:type="dxa"/>
            </w:tcMar>
            <w:vAlign w:val="center"/>
          </w:tcPr>
          <w:p w14:paraId="1BBA076B"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9</w:t>
            </w:r>
          </w:p>
        </w:tc>
        <w:tc>
          <w:tcPr>
            <w:tcW w:w="1134" w:type="dxa"/>
            <w:shd w:val="clear" w:color="auto" w:fill="auto"/>
            <w:tcMar>
              <w:right w:w="170" w:type="dxa"/>
            </w:tcMar>
            <w:vAlign w:val="center"/>
          </w:tcPr>
          <w:p w14:paraId="4ABB4A32"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34</w:t>
            </w:r>
          </w:p>
        </w:tc>
        <w:tc>
          <w:tcPr>
            <w:tcW w:w="851" w:type="dxa"/>
            <w:shd w:val="clear" w:color="auto" w:fill="auto"/>
            <w:vAlign w:val="center"/>
          </w:tcPr>
          <w:p w14:paraId="0E1A2E18"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1.2%</w:t>
            </w:r>
          </w:p>
        </w:tc>
        <w:tc>
          <w:tcPr>
            <w:tcW w:w="1134" w:type="dxa"/>
            <w:shd w:val="clear" w:color="auto" w:fill="auto"/>
            <w:tcMar>
              <w:right w:w="170" w:type="dxa"/>
            </w:tcMar>
            <w:vAlign w:val="center"/>
          </w:tcPr>
          <w:p w14:paraId="1D66FE9A"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0.1%</w:t>
            </w:r>
          </w:p>
        </w:tc>
        <w:tc>
          <w:tcPr>
            <w:tcW w:w="850" w:type="dxa"/>
            <w:shd w:val="clear" w:color="auto" w:fill="auto"/>
            <w:tcMar>
              <w:right w:w="170" w:type="dxa"/>
            </w:tcMar>
            <w:vAlign w:val="center"/>
          </w:tcPr>
          <w:p w14:paraId="1342100C"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0.0%</w:t>
            </w:r>
          </w:p>
        </w:tc>
        <w:tc>
          <w:tcPr>
            <w:tcW w:w="851" w:type="dxa"/>
            <w:shd w:val="clear" w:color="auto" w:fill="auto"/>
            <w:tcMar>
              <w:right w:w="170" w:type="dxa"/>
            </w:tcMar>
            <w:vAlign w:val="center"/>
          </w:tcPr>
          <w:p w14:paraId="686E5561" w14:textId="77777777" w:rsidR="00B2653E" w:rsidRPr="008E68BA" w:rsidRDefault="00B2653E" w:rsidP="008E68BA">
            <w:pPr>
              <w:rPr>
                <w:rFonts w:ascii="Arial" w:hAnsi="Arial" w:cs="Arial"/>
                <w:color w:val="000000" w:themeColor="text1"/>
                <w:highlight w:val="yellow"/>
              </w:rPr>
            </w:pPr>
            <w:r w:rsidRPr="008E68BA">
              <w:rPr>
                <w:rFonts w:ascii="Arial" w:hAnsi="Arial" w:cs="Arial"/>
                <w:color w:val="333333"/>
              </w:rPr>
              <w:t>0.2%</w:t>
            </w:r>
          </w:p>
        </w:tc>
      </w:tr>
      <w:tr w:rsidR="00B2653E" w:rsidRPr="008E68BA" w14:paraId="621E1CD6" w14:textId="77777777" w:rsidTr="00DF2819">
        <w:trPr>
          <w:trHeight w:val="268"/>
        </w:trPr>
        <w:tc>
          <w:tcPr>
            <w:tcW w:w="1229" w:type="dxa"/>
            <w:vAlign w:val="center"/>
          </w:tcPr>
          <w:p w14:paraId="6466D5CE"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Lanarkshire</w:t>
            </w:r>
          </w:p>
        </w:tc>
        <w:tc>
          <w:tcPr>
            <w:tcW w:w="1017" w:type="dxa"/>
            <w:shd w:val="clear" w:color="auto" w:fill="auto"/>
            <w:vAlign w:val="center"/>
          </w:tcPr>
          <w:p w14:paraId="582529DC" w14:textId="77777777" w:rsidR="00B2653E" w:rsidRPr="008E68BA" w:rsidRDefault="00B2653E" w:rsidP="008E68BA">
            <w:pPr>
              <w:rPr>
                <w:rFonts w:ascii="Arial" w:hAnsi="Arial" w:cs="Arial"/>
                <w:color w:val="000000" w:themeColor="text1"/>
              </w:rPr>
            </w:pPr>
            <w:r w:rsidRPr="008E68BA">
              <w:rPr>
                <w:rFonts w:ascii="Arial" w:hAnsi="Arial" w:cs="Arial"/>
                <w:color w:val="333333"/>
              </w:rPr>
              <w:t>99,457</w:t>
            </w:r>
          </w:p>
        </w:tc>
        <w:tc>
          <w:tcPr>
            <w:tcW w:w="1101" w:type="dxa"/>
            <w:shd w:val="clear" w:color="auto" w:fill="auto"/>
            <w:vAlign w:val="center"/>
          </w:tcPr>
          <w:p w14:paraId="24C3B796" w14:textId="77777777" w:rsidR="00B2653E" w:rsidRPr="008E68BA" w:rsidRDefault="00B2653E" w:rsidP="008E68BA">
            <w:pPr>
              <w:rPr>
                <w:rFonts w:ascii="Arial" w:hAnsi="Arial" w:cs="Arial"/>
                <w:color w:val="000000" w:themeColor="text1"/>
              </w:rPr>
            </w:pPr>
            <w:r w:rsidRPr="008E68BA">
              <w:rPr>
                <w:rFonts w:ascii="Arial" w:hAnsi="Arial" w:cs="Arial"/>
                <w:color w:val="333333"/>
              </w:rPr>
              <w:t>1,366</w:t>
            </w:r>
          </w:p>
        </w:tc>
        <w:tc>
          <w:tcPr>
            <w:tcW w:w="1189" w:type="dxa"/>
            <w:shd w:val="clear" w:color="auto" w:fill="auto"/>
            <w:tcMar>
              <w:right w:w="170" w:type="dxa"/>
            </w:tcMar>
            <w:vAlign w:val="center"/>
          </w:tcPr>
          <w:p w14:paraId="0366C718" w14:textId="77777777" w:rsidR="00B2653E" w:rsidRPr="008E68BA" w:rsidRDefault="00B2653E" w:rsidP="008E68BA">
            <w:pPr>
              <w:rPr>
                <w:rFonts w:ascii="Arial" w:hAnsi="Arial" w:cs="Arial"/>
                <w:color w:val="000000" w:themeColor="text1"/>
              </w:rPr>
            </w:pPr>
            <w:r w:rsidRPr="008E68BA">
              <w:rPr>
                <w:rFonts w:ascii="Arial" w:hAnsi="Arial" w:cs="Arial"/>
                <w:color w:val="333333"/>
              </w:rPr>
              <w:t>247</w:t>
            </w:r>
          </w:p>
        </w:tc>
        <w:tc>
          <w:tcPr>
            <w:tcW w:w="1134" w:type="dxa"/>
            <w:shd w:val="clear" w:color="auto" w:fill="auto"/>
            <w:tcMar>
              <w:right w:w="170" w:type="dxa"/>
            </w:tcMar>
            <w:vAlign w:val="center"/>
          </w:tcPr>
          <w:p w14:paraId="18F08FC8" w14:textId="77777777" w:rsidR="00B2653E" w:rsidRPr="008E68BA" w:rsidRDefault="00B2653E" w:rsidP="008E68BA">
            <w:pPr>
              <w:rPr>
                <w:rFonts w:ascii="Arial" w:hAnsi="Arial" w:cs="Arial"/>
                <w:color w:val="000000" w:themeColor="text1"/>
              </w:rPr>
            </w:pPr>
            <w:r w:rsidRPr="008E68BA">
              <w:rPr>
                <w:rFonts w:ascii="Arial" w:hAnsi="Arial" w:cs="Arial"/>
                <w:color w:val="333333"/>
              </w:rPr>
              <w:t>294</w:t>
            </w:r>
          </w:p>
        </w:tc>
        <w:tc>
          <w:tcPr>
            <w:tcW w:w="1134" w:type="dxa"/>
            <w:shd w:val="clear" w:color="auto" w:fill="auto"/>
            <w:tcMar>
              <w:right w:w="170" w:type="dxa"/>
            </w:tcMar>
            <w:vAlign w:val="center"/>
          </w:tcPr>
          <w:p w14:paraId="5FC897A3" w14:textId="77777777" w:rsidR="00B2653E" w:rsidRPr="008E68BA" w:rsidRDefault="00B2653E" w:rsidP="008E68BA">
            <w:pPr>
              <w:rPr>
                <w:rFonts w:ascii="Arial" w:hAnsi="Arial" w:cs="Arial"/>
                <w:color w:val="000000" w:themeColor="text1"/>
              </w:rPr>
            </w:pPr>
            <w:r w:rsidRPr="008E68BA">
              <w:rPr>
                <w:rFonts w:ascii="Arial" w:hAnsi="Arial" w:cs="Arial"/>
                <w:color w:val="333333"/>
              </w:rPr>
              <w:t>542</w:t>
            </w:r>
          </w:p>
        </w:tc>
        <w:tc>
          <w:tcPr>
            <w:tcW w:w="851" w:type="dxa"/>
            <w:shd w:val="clear" w:color="auto" w:fill="auto"/>
            <w:vAlign w:val="center"/>
          </w:tcPr>
          <w:p w14:paraId="2D6E39F5" w14:textId="77777777" w:rsidR="00B2653E" w:rsidRPr="008E68BA" w:rsidRDefault="00B2653E" w:rsidP="008E68BA">
            <w:pPr>
              <w:rPr>
                <w:rFonts w:ascii="Arial" w:hAnsi="Arial" w:cs="Arial"/>
                <w:color w:val="000000" w:themeColor="text1"/>
              </w:rPr>
            </w:pPr>
            <w:r w:rsidRPr="008E68BA">
              <w:rPr>
                <w:rFonts w:ascii="Arial" w:hAnsi="Arial" w:cs="Arial"/>
                <w:color w:val="333333"/>
              </w:rPr>
              <w:t>1.4%</w:t>
            </w:r>
          </w:p>
        </w:tc>
        <w:tc>
          <w:tcPr>
            <w:tcW w:w="1134" w:type="dxa"/>
            <w:shd w:val="clear" w:color="auto" w:fill="auto"/>
            <w:tcMar>
              <w:right w:w="170" w:type="dxa"/>
            </w:tcMar>
            <w:vAlign w:val="center"/>
          </w:tcPr>
          <w:p w14:paraId="78B23B80" w14:textId="77777777" w:rsidR="00B2653E" w:rsidRPr="008E68BA" w:rsidRDefault="00B2653E" w:rsidP="008E68BA">
            <w:pPr>
              <w:rPr>
                <w:rFonts w:ascii="Arial" w:hAnsi="Arial" w:cs="Arial"/>
                <w:color w:val="000000" w:themeColor="text1"/>
              </w:rPr>
            </w:pPr>
            <w:r w:rsidRPr="008E68BA">
              <w:rPr>
                <w:rFonts w:ascii="Arial" w:hAnsi="Arial" w:cs="Arial"/>
                <w:color w:val="333333"/>
              </w:rPr>
              <w:t>0.2%</w:t>
            </w:r>
          </w:p>
        </w:tc>
        <w:tc>
          <w:tcPr>
            <w:tcW w:w="850" w:type="dxa"/>
            <w:shd w:val="clear" w:color="auto" w:fill="auto"/>
            <w:tcMar>
              <w:right w:w="170" w:type="dxa"/>
            </w:tcMar>
            <w:vAlign w:val="center"/>
          </w:tcPr>
          <w:p w14:paraId="68A192FC" w14:textId="77777777" w:rsidR="00B2653E" w:rsidRPr="008E68BA" w:rsidRDefault="00B2653E" w:rsidP="008E68BA">
            <w:pPr>
              <w:rPr>
                <w:rFonts w:ascii="Arial" w:hAnsi="Arial" w:cs="Arial"/>
                <w:color w:val="000000" w:themeColor="text1"/>
              </w:rPr>
            </w:pPr>
            <w:r w:rsidRPr="008E68BA">
              <w:rPr>
                <w:rFonts w:ascii="Arial" w:hAnsi="Arial" w:cs="Arial"/>
                <w:color w:val="333333"/>
              </w:rPr>
              <w:t>0.3%</w:t>
            </w:r>
          </w:p>
        </w:tc>
        <w:tc>
          <w:tcPr>
            <w:tcW w:w="851" w:type="dxa"/>
            <w:shd w:val="clear" w:color="auto" w:fill="auto"/>
            <w:tcMar>
              <w:right w:w="170" w:type="dxa"/>
            </w:tcMar>
            <w:vAlign w:val="center"/>
          </w:tcPr>
          <w:p w14:paraId="1990C68F" w14:textId="77777777" w:rsidR="00B2653E" w:rsidRPr="008E68BA" w:rsidRDefault="00B2653E" w:rsidP="008E68BA">
            <w:pPr>
              <w:rPr>
                <w:rFonts w:ascii="Arial" w:hAnsi="Arial" w:cs="Arial"/>
                <w:color w:val="000000" w:themeColor="text1"/>
              </w:rPr>
            </w:pPr>
            <w:r w:rsidRPr="008E68BA">
              <w:rPr>
                <w:rFonts w:ascii="Arial" w:hAnsi="Arial" w:cs="Arial"/>
                <w:color w:val="333333"/>
              </w:rPr>
              <w:t>0.5%</w:t>
            </w:r>
          </w:p>
        </w:tc>
      </w:tr>
      <w:tr w:rsidR="00B2653E" w:rsidRPr="008E68BA" w14:paraId="1EB7F0E6" w14:textId="77777777" w:rsidTr="00DF2819">
        <w:trPr>
          <w:trHeight w:val="268"/>
        </w:trPr>
        <w:tc>
          <w:tcPr>
            <w:tcW w:w="1229" w:type="dxa"/>
            <w:vAlign w:val="center"/>
          </w:tcPr>
          <w:p w14:paraId="3845231F"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Lothian</w:t>
            </w:r>
          </w:p>
        </w:tc>
        <w:tc>
          <w:tcPr>
            <w:tcW w:w="1017" w:type="dxa"/>
            <w:shd w:val="clear" w:color="auto" w:fill="auto"/>
            <w:vAlign w:val="center"/>
          </w:tcPr>
          <w:p w14:paraId="4F612CE2" w14:textId="77777777" w:rsidR="00B2653E" w:rsidRPr="008E68BA" w:rsidRDefault="00B2653E" w:rsidP="008E68BA">
            <w:pPr>
              <w:rPr>
                <w:rFonts w:ascii="Arial" w:hAnsi="Arial" w:cs="Arial"/>
                <w:color w:val="000000" w:themeColor="text1"/>
              </w:rPr>
            </w:pPr>
            <w:r w:rsidRPr="008E68BA">
              <w:rPr>
                <w:rFonts w:ascii="Arial" w:hAnsi="Arial" w:cs="Arial"/>
                <w:color w:val="333333"/>
              </w:rPr>
              <w:t>102,430</w:t>
            </w:r>
          </w:p>
        </w:tc>
        <w:tc>
          <w:tcPr>
            <w:tcW w:w="1101" w:type="dxa"/>
            <w:shd w:val="clear" w:color="auto" w:fill="auto"/>
            <w:vAlign w:val="center"/>
          </w:tcPr>
          <w:p w14:paraId="5E03C506" w14:textId="77777777" w:rsidR="00B2653E" w:rsidRPr="008E68BA" w:rsidRDefault="00B2653E" w:rsidP="008E68BA">
            <w:pPr>
              <w:rPr>
                <w:rFonts w:ascii="Arial" w:hAnsi="Arial" w:cs="Arial"/>
                <w:color w:val="000000" w:themeColor="text1"/>
              </w:rPr>
            </w:pPr>
            <w:r w:rsidRPr="008E68BA">
              <w:rPr>
                <w:rFonts w:ascii="Arial" w:hAnsi="Arial" w:cs="Arial"/>
                <w:color w:val="333333"/>
              </w:rPr>
              <w:t>1,733</w:t>
            </w:r>
          </w:p>
        </w:tc>
        <w:tc>
          <w:tcPr>
            <w:tcW w:w="1189" w:type="dxa"/>
            <w:shd w:val="clear" w:color="auto" w:fill="auto"/>
            <w:tcMar>
              <w:right w:w="170" w:type="dxa"/>
            </w:tcMar>
            <w:vAlign w:val="center"/>
          </w:tcPr>
          <w:p w14:paraId="51AA58BC" w14:textId="77777777" w:rsidR="00B2653E" w:rsidRPr="008E68BA" w:rsidRDefault="00B2653E" w:rsidP="008E68BA">
            <w:pPr>
              <w:rPr>
                <w:rFonts w:ascii="Arial" w:hAnsi="Arial" w:cs="Arial"/>
                <w:color w:val="000000" w:themeColor="text1"/>
              </w:rPr>
            </w:pPr>
            <w:r w:rsidRPr="008E68BA">
              <w:rPr>
                <w:rFonts w:ascii="Arial" w:hAnsi="Arial" w:cs="Arial"/>
                <w:color w:val="333333"/>
              </w:rPr>
              <w:t>226</w:t>
            </w:r>
          </w:p>
        </w:tc>
        <w:tc>
          <w:tcPr>
            <w:tcW w:w="1134" w:type="dxa"/>
            <w:shd w:val="clear" w:color="auto" w:fill="auto"/>
            <w:tcMar>
              <w:right w:w="170" w:type="dxa"/>
            </w:tcMar>
            <w:vAlign w:val="center"/>
          </w:tcPr>
          <w:p w14:paraId="0F1B112C" w14:textId="77777777" w:rsidR="00B2653E" w:rsidRPr="008E68BA" w:rsidRDefault="00B2653E" w:rsidP="008E68BA">
            <w:pPr>
              <w:rPr>
                <w:rFonts w:ascii="Arial" w:hAnsi="Arial" w:cs="Arial"/>
                <w:color w:val="000000" w:themeColor="text1"/>
              </w:rPr>
            </w:pPr>
            <w:r w:rsidRPr="008E68BA">
              <w:rPr>
                <w:rFonts w:ascii="Arial" w:hAnsi="Arial" w:cs="Arial"/>
                <w:color w:val="333333"/>
              </w:rPr>
              <w:t>339</w:t>
            </w:r>
          </w:p>
        </w:tc>
        <w:tc>
          <w:tcPr>
            <w:tcW w:w="1134" w:type="dxa"/>
            <w:shd w:val="clear" w:color="auto" w:fill="auto"/>
            <w:tcMar>
              <w:right w:w="170" w:type="dxa"/>
            </w:tcMar>
            <w:vAlign w:val="center"/>
          </w:tcPr>
          <w:p w14:paraId="1C6E758A" w14:textId="77777777" w:rsidR="00B2653E" w:rsidRPr="008E68BA" w:rsidRDefault="00B2653E" w:rsidP="008E68BA">
            <w:pPr>
              <w:rPr>
                <w:rFonts w:ascii="Arial" w:hAnsi="Arial" w:cs="Arial"/>
                <w:color w:val="000000" w:themeColor="text1"/>
              </w:rPr>
            </w:pPr>
            <w:r w:rsidRPr="008E68BA">
              <w:rPr>
                <w:rFonts w:ascii="Arial" w:hAnsi="Arial" w:cs="Arial"/>
                <w:color w:val="333333"/>
              </w:rPr>
              <w:t>672</w:t>
            </w:r>
          </w:p>
        </w:tc>
        <w:tc>
          <w:tcPr>
            <w:tcW w:w="851" w:type="dxa"/>
            <w:shd w:val="clear" w:color="auto" w:fill="auto"/>
            <w:vAlign w:val="center"/>
          </w:tcPr>
          <w:p w14:paraId="549FFD95" w14:textId="77777777" w:rsidR="00B2653E" w:rsidRPr="008E68BA" w:rsidRDefault="00B2653E" w:rsidP="008E68BA">
            <w:pPr>
              <w:rPr>
                <w:rFonts w:ascii="Arial" w:hAnsi="Arial" w:cs="Arial"/>
                <w:color w:val="000000" w:themeColor="text1"/>
              </w:rPr>
            </w:pPr>
            <w:r w:rsidRPr="008E68BA">
              <w:rPr>
                <w:rFonts w:ascii="Arial" w:hAnsi="Arial" w:cs="Arial"/>
                <w:color w:val="333333"/>
              </w:rPr>
              <w:t>1.7%</w:t>
            </w:r>
          </w:p>
        </w:tc>
        <w:tc>
          <w:tcPr>
            <w:tcW w:w="1134" w:type="dxa"/>
            <w:shd w:val="clear" w:color="auto" w:fill="auto"/>
            <w:tcMar>
              <w:right w:w="170" w:type="dxa"/>
            </w:tcMar>
            <w:vAlign w:val="center"/>
          </w:tcPr>
          <w:p w14:paraId="18D01DCA" w14:textId="77777777" w:rsidR="00B2653E" w:rsidRPr="008E68BA" w:rsidRDefault="00B2653E" w:rsidP="008E68BA">
            <w:pPr>
              <w:rPr>
                <w:rFonts w:ascii="Arial" w:hAnsi="Arial" w:cs="Arial"/>
                <w:color w:val="000000" w:themeColor="text1"/>
              </w:rPr>
            </w:pPr>
            <w:r w:rsidRPr="008E68BA">
              <w:rPr>
                <w:rFonts w:ascii="Arial" w:hAnsi="Arial" w:cs="Arial"/>
                <w:color w:val="333333"/>
              </w:rPr>
              <w:t>0.2%</w:t>
            </w:r>
          </w:p>
        </w:tc>
        <w:tc>
          <w:tcPr>
            <w:tcW w:w="850" w:type="dxa"/>
            <w:shd w:val="clear" w:color="auto" w:fill="auto"/>
            <w:tcMar>
              <w:right w:w="170" w:type="dxa"/>
            </w:tcMar>
            <w:vAlign w:val="center"/>
          </w:tcPr>
          <w:p w14:paraId="03138E00" w14:textId="77777777" w:rsidR="00B2653E" w:rsidRPr="008E68BA" w:rsidRDefault="00B2653E" w:rsidP="008E68BA">
            <w:pPr>
              <w:rPr>
                <w:rFonts w:ascii="Arial" w:hAnsi="Arial" w:cs="Arial"/>
                <w:color w:val="000000" w:themeColor="text1"/>
              </w:rPr>
            </w:pPr>
            <w:r w:rsidRPr="008E68BA">
              <w:rPr>
                <w:rFonts w:ascii="Arial" w:hAnsi="Arial" w:cs="Arial"/>
                <w:color w:val="333333"/>
              </w:rPr>
              <w:t>0.3%</w:t>
            </w:r>
          </w:p>
        </w:tc>
        <w:tc>
          <w:tcPr>
            <w:tcW w:w="851" w:type="dxa"/>
            <w:shd w:val="clear" w:color="auto" w:fill="auto"/>
            <w:tcMar>
              <w:right w:w="170" w:type="dxa"/>
            </w:tcMar>
            <w:vAlign w:val="center"/>
          </w:tcPr>
          <w:p w14:paraId="203B51A5" w14:textId="77777777" w:rsidR="00B2653E" w:rsidRPr="008E68BA" w:rsidRDefault="00B2653E" w:rsidP="008E68BA">
            <w:pPr>
              <w:rPr>
                <w:rFonts w:ascii="Arial" w:hAnsi="Arial" w:cs="Arial"/>
                <w:color w:val="000000" w:themeColor="text1"/>
              </w:rPr>
            </w:pPr>
            <w:r w:rsidRPr="008E68BA">
              <w:rPr>
                <w:rFonts w:ascii="Arial" w:hAnsi="Arial" w:cs="Arial"/>
                <w:color w:val="333333"/>
              </w:rPr>
              <w:t>0.7%</w:t>
            </w:r>
          </w:p>
        </w:tc>
      </w:tr>
      <w:tr w:rsidR="00B2653E" w:rsidRPr="008E68BA" w14:paraId="4A18E09E" w14:textId="77777777" w:rsidTr="00DF2819">
        <w:trPr>
          <w:trHeight w:val="268"/>
        </w:trPr>
        <w:tc>
          <w:tcPr>
            <w:tcW w:w="1229" w:type="dxa"/>
            <w:vAlign w:val="center"/>
          </w:tcPr>
          <w:p w14:paraId="11A17CC0"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Orkney</w:t>
            </w:r>
          </w:p>
        </w:tc>
        <w:tc>
          <w:tcPr>
            <w:tcW w:w="1017" w:type="dxa"/>
            <w:shd w:val="clear" w:color="auto" w:fill="auto"/>
            <w:vAlign w:val="center"/>
          </w:tcPr>
          <w:p w14:paraId="7B3B9961" w14:textId="77777777" w:rsidR="00B2653E" w:rsidRPr="008E68BA" w:rsidRDefault="00B2653E" w:rsidP="008E68BA">
            <w:pPr>
              <w:rPr>
                <w:rFonts w:ascii="Arial" w:hAnsi="Arial" w:cs="Arial"/>
                <w:color w:val="000000" w:themeColor="text1"/>
              </w:rPr>
            </w:pPr>
            <w:r w:rsidRPr="008E68BA">
              <w:rPr>
                <w:rFonts w:ascii="Arial" w:hAnsi="Arial" w:cs="Arial"/>
                <w:color w:val="333333"/>
              </w:rPr>
              <w:t>456</w:t>
            </w:r>
          </w:p>
        </w:tc>
        <w:tc>
          <w:tcPr>
            <w:tcW w:w="1101" w:type="dxa"/>
            <w:shd w:val="clear" w:color="auto" w:fill="auto"/>
            <w:vAlign w:val="center"/>
          </w:tcPr>
          <w:p w14:paraId="387810F4" w14:textId="77777777" w:rsidR="00B2653E" w:rsidRPr="008E68BA" w:rsidRDefault="00B2653E" w:rsidP="008E68BA">
            <w:pPr>
              <w:rPr>
                <w:rFonts w:ascii="Arial" w:hAnsi="Arial" w:cs="Arial"/>
                <w:color w:val="000000" w:themeColor="text1"/>
              </w:rPr>
            </w:pPr>
            <w:r w:rsidRPr="008E68BA">
              <w:rPr>
                <w:rFonts w:ascii="Arial" w:hAnsi="Arial" w:cs="Arial"/>
                <w:color w:val="333333"/>
              </w:rPr>
              <w:t>8</w:t>
            </w:r>
          </w:p>
        </w:tc>
        <w:tc>
          <w:tcPr>
            <w:tcW w:w="1189" w:type="dxa"/>
            <w:shd w:val="clear" w:color="auto" w:fill="auto"/>
            <w:tcMar>
              <w:right w:w="170" w:type="dxa"/>
            </w:tcMar>
            <w:vAlign w:val="center"/>
          </w:tcPr>
          <w:p w14:paraId="712F3E13" w14:textId="77777777" w:rsidR="00B2653E" w:rsidRPr="008E68BA" w:rsidRDefault="00B2653E" w:rsidP="008E68BA">
            <w:pPr>
              <w:rPr>
                <w:rFonts w:ascii="Arial" w:hAnsi="Arial" w:cs="Arial"/>
                <w:color w:val="000000" w:themeColor="text1"/>
              </w:rPr>
            </w:pPr>
            <w:r w:rsidRPr="008E68BA">
              <w:rPr>
                <w:rFonts w:ascii="Arial" w:hAnsi="Arial" w:cs="Arial"/>
                <w:color w:val="333333"/>
              </w:rPr>
              <w:t>0</w:t>
            </w:r>
          </w:p>
        </w:tc>
        <w:tc>
          <w:tcPr>
            <w:tcW w:w="1134" w:type="dxa"/>
            <w:shd w:val="clear" w:color="auto" w:fill="auto"/>
            <w:tcMar>
              <w:right w:w="170" w:type="dxa"/>
            </w:tcMar>
            <w:vAlign w:val="center"/>
          </w:tcPr>
          <w:p w14:paraId="3C6D4C26" w14:textId="77777777" w:rsidR="00B2653E" w:rsidRPr="008E68BA" w:rsidRDefault="00B2653E" w:rsidP="008E68BA">
            <w:pPr>
              <w:rPr>
                <w:rFonts w:ascii="Arial" w:hAnsi="Arial" w:cs="Arial"/>
                <w:color w:val="000000" w:themeColor="text1"/>
              </w:rPr>
            </w:pPr>
            <w:r w:rsidRPr="008E68BA">
              <w:rPr>
                <w:rFonts w:ascii="Arial" w:hAnsi="Arial" w:cs="Arial"/>
                <w:color w:val="333333"/>
              </w:rPr>
              <w:t>1</w:t>
            </w:r>
          </w:p>
        </w:tc>
        <w:tc>
          <w:tcPr>
            <w:tcW w:w="1134" w:type="dxa"/>
            <w:shd w:val="clear" w:color="auto" w:fill="auto"/>
            <w:tcMar>
              <w:right w:w="170" w:type="dxa"/>
            </w:tcMar>
            <w:vAlign w:val="center"/>
          </w:tcPr>
          <w:p w14:paraId="480F2159" w14:textId="77777777" w:rsidR="00B2653E" w:rsidRPr="008E68BA" w:rsidRDefault="00B2653E" w:rsidP="008E68BA">
            <w:pPr>
              <w:rPr>
                <w:rFonts w:ascii="Arial" w:hAnsi="Arial" w:cs="Arial"/>
                <w:color w:val="000000" w:themeColor="text1"/>
              </w:rPr>
            </w:pPr>
            <w:r w:rsidRPr="008E68BA">
              <w:rPr>
                <w:rFonts w:ascii="Arial" w:hAnsi="Arial" w:cs="Arial"/>
                <w:color w:val="333333"/>
              </w:rPr>
              <w:t>3</w:t>
            </w:r>
          </w:p>
        </w:tc>
        <w:tc>
          <w:tcPr>
            <w:tcW w:w="851" w:type="dxa"/>
            <w:shd w:val="clear" w:color="auto" w:fill="auto"/>
            <w:vAlign w:val="center"/>
          </w:tcPr>
          <w:p w14:paraId="077F417B" w14:textId="77777777" w:rsidR="00B2653E" w:rsidRPr="008E68BA" w:rsidRDefault="00B2653E" w:rsidP="008E68BA">
            <w:pPr>
              <w:rPr>
                <w:rFonts w:ascii="Arial" w:hAnsi="Arial" w:cs="Arial"/>
                <w:color w:val="000000" w:themeColor="text1"/>
              </w:rPr>
            </w:pPr>
            <w:r w:rsidRPr="008E68BA">
              <w:rPr>
                <w:rFonts w:ascii="Arial" w:hAnsi="Arial" w:cs="Arial"/>
                <w:color w:val="333333"/>
              </w:rPr>
              <w:t>1.8%</w:t>
            </w:r>
          </w:p>
        </w:tc>
        <w:tc>
          <w:tcPr>
            <w:tcW w:w="1134" w:type="dxa"/>
            <w:shd w:val="clear" w:color="auto" w:fill="auto"/>
            <w:tcMar>
              <w:right w:w="170" w:type="dxa"/>
            </w:tcMar>
            <w:vAlign w:val="center"/>
          </w:tcPr>
          <w:p w14:paraId="37FFBF9C" w14:textId="77777777" w:rsidR="00B2653E" w:rsidRPr="008E68BA" w:rsidRDefault="00B2653E" w:rsidP="008E68BA">
            <w:pPr>
              <w:rPr>
                <w:rFonts w:ascii="Arial" w:hAnsi="Arial" w:cs="Arial"/>
                <w:color w:val="000000" w:themeColor="text1"/>
              </w:rPr>
            </w:pPr>
            <w:r w:rsidRPr="008E68BA">
              <w:rPr>
                <w:rFonts w:ascii="Arial" w:hAnsi="Arial" w:cs="Arial"/>
                <w:color w:val="333333"/>
              </w:rPr>
              <w:t>0.0%</w:t>
            </w:r>
          </w:p>
        </w:tc>
        <w:tc>
          <w:tcPr>
            <w:tcW w:w="850" w:type="dxa"/>
            <w:shd w:val="clear" w:color="auto" w:fill="auto"/>
            <w:tcMar>
              <w:right w:w="170" w:type="dxa"/>
            </w:tcMar>
            <w:vAlign w:val="center"/>
          </w:tcPr>
          <w:p w14:paraId="696698CA" w14:textId="77777777" w:rsidR="00B2653E" w:rsidRPr="008E68BA" w:rsidRDefault="00B2653E" w:rsidP="008E68BA">
            <w:pPr>
              <w:rPr>
                <w:rFonts w:ascii="Arial" w:hAnsi="Arial" w:cs="Arial"/>
                <w:color w:val="000000" w:themeColor="text1"/>
              </w:rPr>
            </w:pPr>
            <w:r w:rsidRPr="008E68BA">
              <w:rPr>
                <w:rFonts w:ascii="Arial" w:hAnsi="Arial" w:cs="Arial"/>
                <w:color w:val="333333"/>
              </w:rPr>
              <w:t>0.2%</w:t>
            </w:r>
          </w:p>
        </w:tc>
        <w:tc>
          <w:tcPr>
            <w:tcW w:w="851" w:type="dxa"/>
            <w:shd w:val="clear" w:color="auto" w:fill="auto"/>
            <w:tcMar>
              <w:right w:w="170" w:type="dxa"/>
            </w:tcMar>
            <w:vAlign w:val="center"/>
          </w:tcPr>
          <w:p w14:paraId="20006469" w14:textId="77777777" w:rsidR="00B2653E" w:rsidRPr="008E68BA" w:rsidRDefault="00B2653E" w:rsidP="008E68BA">
            <w:pPr>
              <w:rPr>
                <w:rFonts w:ascii="Arial" w:hAnsi="Arial" w:cs="Arial"/>
                <w:color w:val="000000" w:themeColor="text1"/>
              </w:rPr>
            </w:pPr>
            <w:r w:rsidRPr="008E68BA">
              <w:rPr>
                <w:rFonts w:ascii="Arial" w:hAnsi="Arial" w:cs="Arial"/>
                <w:color w:val="333333"/>
              </w:rPr>
              <w:t>0.7%</w:t>
            </w:r>
          </w:p>
        </w:tc>
      </w:tr>
      <w:tr w:rsidR="00B2653E" w:rsidRPr="008E68BA" w14:paraId="4426F451" w14:textId="77777777" w:rsidTr="00DF2819">
        <w:trPr>
          <w:trHeight w:val="268"/>
        </w:trPr>
        <w:tc>
          <w:tcPr>
            <w:tcW w:w="1229" w:type="dxa"/>
            <w:vAlign w:val="center"/>
          </w:tcPr>
          <w:p w14:paraId="376DEA63"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Shetland</w:t>
            </w:r>
          </w:p>
        </w:tc>
        <w:tc>
          <w:tcPr>
            <w:tcW w:w="1017" w:type="dxa"/>
            <w:shd w:val="clear" w:color="auto" w:fill="auto"/>
            <w:vAlign w:val="center"/>
          </w:tcPr>
          <w:p w14:paraId="0EC59B67" w14:textId="77777777" w:rsidR="00B2653E" w:rsidRPr="008E68BA" w:rsidRDefault="00B2653E" w:rsidP="008E68BA">
            <w:pPr>
              <w:rPr>
                <w:rFonts w:ascii="Arial" w:hAnsi="Arial" w:cs="Arial"/>
                <w:color w:val="000000" w:themeColor="text1"/>
              </w:rPr>
            </w:pPr>
            <w:r w:rsidRPr="008E68BA">
              <w:rPr>
                <w:rFonts w:ascii="Arial" w:hAnsi="Arial" w:cs="Arial"/>
                <w:color w:val="333333"/>
              </w:rPr>
              <w:t>724</w:t>
            </w:r>
          </w:p>
        </w:tc>
        <w:tc>
          <w:tcPr>
            <w:tcW w:w="1101" w:type="dxa"/>
            <w:shd w:val="clear" w:color="auto" w:fill="auto"/>
            <w:vAlign w:val="center"/>
          </w:tcPr>
          <w:p w14:paraId="4DE7842D" w14:textId="77777777" w:rsidR="00B2653E" w:rsidRPr="008E68BA" w:rsidRDefault="00B2653E" w:rsidP="008E68BA">
            <w:pPr>
              <w:rPr>
                <w:rFonts w:ascii="Arial" w:hAnsi="Arial" w:cs="Arial"/>
                <w:color w:val="000000" w:themeColor="text1"/>
              </w:rPr>
            </w:pPr>
            <w:r w:rsidRPr="008E68BA">
              <w:rPr>
                <w:rFonts w:ascii="Arial" w:hAnsi="Arial" w:cs="Arial"/>
                <w:color w:val="333333"/>
              </w:rPr>
              <w:t>17</w:t>
            </w:r>
          </w:p>
        </w:tc>
        <w:tc>
          <w:tcPr>
            <w:tcW w:w="1189" w:type="dxa"/>
            <w:shd w:val="clear" w:color="auto" w:fill="auto"/>
            <w:tcMar>
              <w:right w:w="170" w:type="dxa"/>
            </w:tcMar>
            <w:vAlign w:val="center"/>
          </w:tcPr>
          <w:p w14:paraId="45C6904F" w14:textId="77777777" w:rsidR="00B2653E" w:rsidRPr="008E68BA" w:rsidRDefault="00B2653E" w:rsidP="008E68BA">
            <w:pPr>
              <w:rPr>
                <w:rFonts w:ascii="Arial" w:hAnsi="Arial" w:cs="Arial"/>
                <w:color w:val="000000" w:themeColor="text1"/>
              </w:rPr>
            </w:pPr>
            <w:r w:rsidRPr="008E68BA">
              <w:rPr>
                <w:rFonts w:ascii="Arial" w:hAnsi="Arial" w:cs="Arial"/>
                <w:color w:val="333333"/>
              </w:rPr>
              <w:t>1</w:t>
            </w:r>
          </w:p>
        </w:tc>
        <w:tc>
          <w:tcPr>
            <w:tcW w:w="1134" w:type="dxa"/>
            <w:shd w:val="clear" w:color="auto" w:fill="auto"/>
            <w:tcMar>
              <w:right w:w="170" w:type="dxa"/>
            </w:tcMar>
            <w:vAlign w:val="center"/>
          </w:tcPr>
          <w:p w14:paraId="6D9AF7FE" w14:textId="77777777" w:rsidR="00B2653E" w:rsidRPr="008E68BA" w:rsidRDefault="00B2653E" w:rsidP="008E68BA">
            <w:pPr>
              <w:rPr>
                <w:rFonts w:ascii="Arial" w:hAnsi="Arial" w:cs="Arial"/>
                <w:color w:val="000000" w:themeColor="text1"/>
              </w:rPr>
            </w:pPr>
            <w:r w:rsidRPr="008E68BA">
              <w:rPr>
                <w:rFonts w:ascii="Arial" w:hAnsi="Arial" w:cs="Arial"/>
                <w:color w:val="333333"/>
              </w:rPr>
              <w:t>0</w:t>
            </w:r>
          </w:p>
        </w:tc>
        <w:tc>
          <w:tcPr>
            <w:tcW w:w="1134" w:type="dxa"/>
            <w:shd w:val="clear" w:color="auto" w:fill="auto"/>
            <w:tcMar>
              <w:right w:w="170" w:type="dxa"/>
            </w:tcMar>
            <w:vAlign w:val="center"/>
          </w:tcPr>
          <w:p w14:paraId="6D28CE8C" w14:textId="77777777" w:rsidR="00B2653E" w:rsidRPr="008E68BA" w:rsidRDefault="00B2653E" w:rsidP="008E68BA">
            <w:pPr>
              <w:rPr>
                <w:rFonts w:ascii="Arial" w:hAnsi="Arial" w:cs="Arial"/>
                <w:color w:val="000000" w:themeColor="text1"/>
              </w:rPr>
            </w:pPr>
            <w:r w:rsidRPr="008E68BA">
              <w:rPr>
                <w:rFonts w:ascii="Arial" w:hAnsi="Arial" w:cs="Arial"/>
                <w:color w:val="333333"/>
              </w:rPr>
              <w:t>0</w:t>
            </w:r>
          </w:p>
        </w:tc>
        <w:tc>
          <w:tcPr>
            <w:tcW w:w="851" w:type="dxa"/>
            <w:shd w:val="clear" w:color="auto" w:fill="auto"/>
            <w:vAlign w:val="center"/>
          </w:tcPr>
          <w:p w14:paraId="5188B3B0" w14:textId="77777777" w:rsidR="00B2653E" w:rsidRPr="008E68BA" w:rsidRDefault="00B2653E" w:rsidP="008E68BA">
            <w:pPr>
              <w:rPr>
                <w:rFonts w:ascii="Arial" w:hAnsi="Arial" w:cs="Arial"/>
                <w:color w:val="000000" w:themeColor="text1"/>
              </w:rPr>
            </w:pPr>
            <w:r w:rsidRPr="008E68BA">
              <w:rPr>
                <w:rFonts w:ascii="Arial" w:hAnsi="Arial" w:cs="Arial"/>
                <w:color w:val="333333"/>
              </w:rPr>
              <w:t>2.3%</w:t>
            </w:r>
          </w:p>
        </w:tc>
        <w:tc>
          <w:tcPr>
            <w:tcW w:w="1134" w:type="dxa"/>
            <w:shd w:val="clear" w:color="auto" w:fill="auto"/>
            <w:tcMar>
              <w:right w:w="170" w:type="dxa"/>
            </w:tcMar>
            <w:vAlign w:val="center"/>
          </w:tcPr>
          <w:p w14:paraId="04625742" w14:textId="77777777" w:rsidR="00B2653E" w:rsidRPr="008E68BA" w:rsidRDefault="00B2653E" w:rsidP="008E68BA">
            <w:pPr>
              <w:rPr>
                <w:rFonts w:ascii="Arial" w:hAnsi="Arial" w:cs="Arial"/>
                <w:color w:val="000000" w:themeColor="text1"/>
              </w:rPr>
            </w:pPr>
            <w:r w:rsidRPr="008E68BA">
              <w:rPr>
                <w:rFonts w:ascii="Arial" w:hAnsi="Arial" w:cs="Arial"/>
                <w:color w:val="333333"/>
              </w:rPr>
              <w:t>0.1%</w:t>
            </w:r>
          </w:p>
        </w:tc>
        <w:tc>
          <w:tcPr>
            <w:tcW w:w="850" w:type="dxa"/>
            <w:shd w:val="clear" w:color="auto" w:fill="auto"/>
            <w:tcMar>
              <w:right w:w="170" w:type="dxa"/>
            </w:tcMar>
            <w:vAlign w:val="center"/>
          </w:tcPr>
          <w:p w14:paraId="4BBA3D2B" w14:textId="77777777" w:rsidR="00B2653E" w:rsidRPr="008E68BA" w:rsidRDefault="00B2653E" w:rsidP="008E68BA">
            <w:pPr>
              <w:rPr>
                <w:rFonts w:ascii="Arial" w:hAnsi="Arial" w:cs="Arial"/>
                <w:color w:val="000000" w:themeColor="text1"/>
              </w:rPr>
            </w:pPr>
            <w:r w:rsidRPr="008E68BA">
              <w:rPr>
                <w:rFonts w:ascii="Arial" w:hAnsi="Arial" w:cs="Arial"/>
                <w:color w:val="333333"/>
              </w:rPr>
              <w:t>0.0%</w:t>
            </w:r>
          </w:p>
        </w:tc>
        <w:tc>
          <w:tcPr>
            <w:tcW w:w="851" w:type="dxa"/>
            <w:shd w:val="clear" w:color="auto" w:fill="auto"/>
            <w:tcMar>
              <w:right w:w="170" w:type="dxa"/>
            </w:tcMar>
            <w:vAlign w:val="center"/>
          </w:tcPr>
          <w:p w14:paraId="42C96B52" w14:textId="77777777" w:rsidR="00B2653E" w:rsidRPr="008E68BA" w:rsidRDefault="00B2653E" w:rsidP="008E68BA">
            <w:pPr>
              <w:rPr>
                <w:rFonts w:ascii="Arial" w:hAnsi="Arial" w:cs="Arial"/>
                <w:color w:val="000000" w:themeColor="text1"/>
              </w:rPr>
            </w:pPr>
            <w:r w:rsidRPr="008E68BA">
              <w:rPr>
                <w:rFonts w:ascii="Arial" w:hAnsi="Arial" w:cs="Arial"/>
                <w:color w:val="333333"/>
              </w:rPr>
              <w:t>0.0%</w:t>
            </w:r>
          </w:p>
        </w:tc>
      </w:tr>
      <w:tr w:rsidR="00B2653E" w:rsidRPr="008E68BA" w14:paraId="49D858F2" w14:textId="77777777" w:rsidTr="00DF2819">
        <w:trPr>
          <w:trHeight w:val="268"/>
        </w:trPr>
        <w:tc>
          <w:tcPr>
            <w:tcW w:w="1229" w:type="dxa"/>
            <w:vAlign w:val="center"/>
          </w:tcPr>
          <w:p w14:paraId="2577A4DD"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Tayside</w:t>
            </w:r>
          </w:p>
        </w:tc>
        <w:tc>
          <w:tcPr>
            <w:tcW w:w="1017" w:type="dxa"/>
            <w:shd w:val="clear" w:color="auto" w:fill="auto"/>
            <w:vAlign w:val="center"/>
          </w:tcPr>
          <w:p w14:paraId="79FC792A" w14:textId="77777777" w:rsidR="00B2653E" w:rsidRPr="008E68BA" w:rsidRDefault="00B2653E" w:rsidP="008E68BA">
            <w:pPr>
              <w:rPr>
                <w:rFonts w:ascii="Arial" w:hAnsi="Arial" w:cs="Arial"/>
                <w:color w:val="000000" w:themeColor="text1"/>
              </w:rPr>
            </w:pPr>
            <w:r w:rsidRPr="008E68BA">
              <w:rPr>
                <w:rFonts w:ascii="Arial" w:hAnsi="Arial" w:cs="Arial"/>
                <w:color w:val="333333"/>
              </w:rPr>
              <w:t>44,427</w:t>
            </w:r>
          </w:p>
        </w:tc>
        <w:tc>
          <w:tcPr>
            <w:tcW w:w="1101" w:type="dxa"/>
            <w:shd w:val="clear" w:color="auto" w:fill="auto"/>
            <w:vAlign w:val="center"/>
          </w:tcPr>
          <w:p w14:paraId="65C13A04" w14:textId="77777777" w:rsidR="00B2653E" w:rsidRPr="008E68BA" w:rsidRDefault="00B2653E" w:rsidP="008E68BA">
            <w:pPr>
              <w:rPr>
                <w:rFonts w:ascii="Arial" w:hAnsi="Arial" w:cs="Arial"/>
                <w:color w:val="000000" w:themeColor="text1"/>
              </w:rPr>
            </w:pPr>
            <w:r w:rsidRPr="008E68BA">
              <w:rPr>
                <w:rFonts w:ascii="Arial" w:hAnsi="Arial" w:cs="Arial"/>
                <w:color w:val="333333"/>
              </w:rPr>
              <w:t>1,004</w:t>
            </w:r>
          </w:p>
        </w:tc>
        <w:tc>
          <w:tcPr>
            <w:tcW w:w="1189" w:type="dxa"/>
            <w:shd w:val="clear" w:color="auto" w:fill="auto"/>
            <w:tcMar>
              <w:right w:w="170" w:type="dxa"/>
            </w:tcMar>
            <w:vAlign w:val="center"/>
          </w:tcPr>
          <w:p w14:paraId="40DB8BBC" w14:textId="77777777" w:rsidR="00B2653E" w:rsidRPr="008E68BA" w:rsidRDefault="00B2653E" w:rsidP="008E68BA">
            <w:pPr>
              <w:rPr>
                <w:rFonts w:ascii="Arial" w:hAnsi="Arial" w:cs="Arial"/>
                <w:color w:val="000000" w:themeColor="text1"/>
              </w:rPr>
            </w:pPr>
            <w:r w:rsidRPr="008E68BA">
              <w:rPr>
                <w:rFonts w:ascii="Arial" w:hAnsi="Arial" w:cs="Arial"/>
                <w:color w:val="333333"/>
              </w:rPr>
              <w:t>131</w:t>
            </w:r>
          </w:p>
        </w:tc>
        <w:tc>
          <w:tcPr>
            <w:tcW w:w="1134" w:type="dxa"/>
            <w:shd w:val="clear" w:color="auto" w:fill="auto"/>
            <w:tcMar>
              <w:right w:w="170" w:type="dxa"/>
            </w:tcMar>
            <w:vAlign w:val="center"/>
          </w:tcPr>
          <w:p w14:paraId="418C94CC" w14:textId="77777777" w:rsidR="00B2653E" w:rsidRPr="008E68BA" w:rsidRDefault="00B2653E" w:rsidP="008E68BA">
            <w:pPr>
              <w:rPr>
                <w:rFonts w:ascii="Arial" w:hAnsi="Arial" w:cs="Arial"/>
                <w:color w:val="000000" w:themeColor="text1"/>
              </w:rPr>
            </w:pPr>
            <w:r w:rsidRPr="008E68BA">
              <w:rPr>
                <w:rFonts w:ascii="Arial" w:hAnsi="Arial" w:cs="Arial"/>
                <w:color w:val="333333"/>
              </w:rPr>
              <w:t>151</w:t>
            </w:r>
          </w:p>
        </w:tc>
        <w:tc>
          <w:tcPr>
            <w:tcW w:w="1134" w:type="dxa"/>
            <w:shd w:val="clear" w:color="auto" w:fill="auto"/>
            <w:tcMar>
              <w:right w:w="170" w:type="dxa"/>
            </w:tcMar>
            <w:vAlign w:val="center"/>
          </w:tcPr>
          <w:p w14:paraId="4935265B" w14:textId="77777777" w:rsidR="00B2653E" w:rsidRPr="008E68BA" w:rsidRDefault="00B2653E" w:rsidP="008E68BA">
            <w:pPr>
              <w:rPr>
                <w:rFonts w:ascii="Arial" w:hAnsi="Arial" w:cs="Arial"/>
                <w:color w:val="000000" w:themeColor="text1"/>
              </w:rPr>
            </w:pPr>
            <w:r w:rsidRPr="008E68BA">
              <w:rPr>
                <w:rFonts w:ascii="Arial" w:hAnsi="Arial" w:cs="Arial"/>
                <w:color w:val="333333"/>
              </w:rPr>
              <w:t>289</w:t>
            </w:r>
          </w:p>
        </w:tc>
        <w:tc>
          <w:tcPr>
            <w:tcW w:w="851" w:type="dxa"/>
            <w:shd w:val="clear" w:color="auto" w:fill="auto"/>
            <w:vAlign w:val="center"/>
          </w:tcPr>
          <w:p w14:paraId="170D5F81" w14:textId="77777777" w:rsidR="00B2653E" w:rsidRPr="008E68BA" w:rsidRDefault="00B2653E" w:rsidP="008E68BA">
            <w:pPr>
              <w:rPr>
                <w:rFonts w:ascii="Arial" w:hAnsi="Arial" w:cs="Arial"/>
                <w:color w:val="000000" w:themeColor="text1"/>
              </w:rPr>
            </w:pPr>
            <w:r w:rsidRPr="008E68BA">
              <w:rPr>
                <w:rFonts w:ascii="Arial" w:hAnsi="Arial" w:cs="Arial"/>
                <w:color w:val="333333"/>
              </w:rPr>
              <w:t>2.3%</w:t>
            </w:r>
          </w:p>
        </w:tc>
        <w:tc>
          <w:tcPr>
            <w:tcW w:w="1134" w:type="dxa"/>
            <w:shd w:val="clear" w:color="auto" w:fill="auto"/>
            <w:tcMar>
              <w:right w:w="170" w:type="dxa"/>
            </w:tcMar>
            <w:vAlign w:val="center"/>
          </w:tcPr>
          <w:p w14:paraId="7715A7A9" w14:textId="77777777" w:rsidR="00B2653E" w:rsidRPr="008E68BA" w:rsidRDefault="00B2653E" w:rsidP="008E68BA">
            <w:pPr>
              <w:rPr>
                <w:rFonts w:ascii="Arial" w:hAnsi="Arial" w:cs="Arial"/>
                <w:color w:val="000000" w:themeColor="text1"/>
              </w:rPr>
            </w:pPr>
            <w:r w:rsidRPr="008E68BA">
              <w:rPr>
                <w:rFonts w:ascii="Arial" w:hAnsi="Arial" w:cs="Arial"/>
                <w:color w:val="333333"/>
              </w:rPr>
              <w:t>0.3%</w:t>
            </w:r>
          </w:p>
        </w:tc>
        <w:tc>
          <w:tcPr>
            <w:tcW w:w="850" w:type="dxa"/>
            <w:shd w:val="clear" w:color="auto" w:fill="auto"/>
            <w:tcMar>
              <w:right w:w="170" w:type="dxa"/>
            </w:tcMar>
            <w:vAlign w:val="center"/>
          </w:tcPr>
          <w:p w14:paraId="14CDE965" w14:textId="77777777" w:rsidR="00B2653E" w:rsidRPr="008E68BA" w:rsidRDefault="00B2653E" w:rsidP="008E68BA">
            <w:pPr>
              <w:rPr>
                <w:rFonts w:ascii="Arial" w:hAnsi="Arial" w:cs="Arial"/>
                <w:color w:val="000000" w:themeColor="text1"/>
              </w:rPr>
            </w:pPr>
            <w:r w:rsidRPr="008E68BA">
              <w:rPr>
                <w:rFonts w:ascii="Arial" w:hAnsi="Arial" w:cs="Arial"/>
                <w:color w:val="333333"/>
              </w:rPr>
              <w:t>0.3%</w:t>
            </w:r>
          </w:p>
        </w:tc>
        <w:tc>
          <w:tcPr>
            <w:tcW w:w="851" w:type="dxa"/>
            <w:shd w:val="clear" w:color="auto" w:fill="auto"/>
            <w:tcMar>
              <w:right w:w="170" w:type="dxa"/>
            </w:tcMar>
            <w:vAlign w:val="center"/>
          </w:tcPr>
          <w:p w14:paraId="3A7F89DB" w14:textId="77777777" w:rsidR="00B2653E" w:rsidRPr="008E68BA" w:rsidRDefault="00B2653E" w:rsidP="008E68BA">
            <w:pPr>
              <w:rPr>
                <w:rFonts w:ascii="Arial" w:hAnsi="Arial" w:cs="Arial"/>
                <w:color w:val="000000" w:themeColor="text1"/>
              </w:rPr>
            </w:pPr>
            <w:r w:rsidRPr="008E68BA">
              <w:rPr>
                <w:rFonts w:ascii="Arial" w:hAnsi="Arial" w:cs="Arial"/>
                <w:color w:val="333333"/>
              </w:rPr>
              <w:t>0.7%</w:t>
            </w:r>
          </w:p>
        </w:tc>
      </w:tr>
      <w:tr w:rsidR="00B2653E" w:rsidRPr="008E68BA" w14:paraId="66AC51E1" w14:textId="77777777" w:rsidTr="00DF2819">
        <w:trPr>
          <w:trHeight w:val="268"/>
        </w:trPr>
        <w:tc>
          <w:tcPr>
            <w:tcW w:w="1229" w:type="dxa"/>
            <w:vAlign w:val="center"/>
          </w:tcPr>
          <w:p w14:paraId="0BD91336" w14:textId="77777777" w:rsidR="00B2653E" w:rsidRPr="008E68BA" w:rsidRDefault="00B2653E" w:rsidP="008E68BA">
            <w:pPr>
              <w:pStyle w:val="TableBody"/>
              <w:rPr>
                <w:rFonts w:cs="Arial"/>
                <w:color w:val="000000" w:themeColor="text1"/>
                <w:sz w:val="24"/>
                <w:szCs w:val="24"/>
              </w:rPr>
            </w:pPr>
            <w:r w:rsidRPr="008E68BA">
              <w:rPr>
                <w:rFonts w:cs="Arial"/>
                <w:color w:val="000000" w:themeColor="text1"/>
                <w:sz w:val="24"/>
                <w:szCs w:val="24"/>
              </w:rPr>
              <w:t>Western Isles</w:t>
            </w:r>
          </w:p>
        </w:tc>
        <w:tc>
          <w:tcPr>
            <w:tcW w:w="1017" w:type="dxa"/>
            <w:shd w:val="clear" w:color="auto" w:fill="auto"/>
            <w:vAlign w:val="center"/>
          </w:tcPr>
          <w:p w14:paraId="21C2A32F" w14:textId="77777777" w:rsidR="00B2653E" w:rsidRPr="008E68BA" w:rsidRDefault="00B2653E" w:rsidP="008E68BA">
            <w:pPr>
              <w:rPr>
                <w:rFonts w:ascii="Arial" w:hAnsi="Arial" w:cs="Arial"/>
                <w:color w:val="000000" w:themeColor="text1"/>
              </w:rPr>
            </w:pPr>
            <w:r w:rsidRPr="008E68BA">
              <w:rPr>
                <w:rFonts w:ascii="Arial" w:hAnsi="Arial" w:cs="Arial"/>
                <w:color w:val="333333"/>
              </w:rPr>
              <w:t>967</w:t>
            </w:r>
          </w:p>
        </w:tc>
        <w:tc>
          <w:tcPr>
            <w:tcW w:w="1101" w:type="dxa"/>
            <w:shd w:val="clear" w:color="auto" w:fill="auto"/>
            <w:vAlign w:val="center"/>
          </w:tcPr>
          <w:p w14:paraId="42FB0E20" w14:textId="77777777" w:rsidR="00B2653E" w:rsidRPr="008E68BA" w:rsidRDefault="00B2653E" w:rsidP="008E68BA">
            <w:pPr>
              <w:rPr>
                <w:rFonts w:ascii="Arial" w:hAnsi="Arial" w:cs="Arial"/>
                <w:color w:val="000000" w:themeColor="text1"/>
              </w:rPr>
            </w:pPr>
            <w:r w:rsidRPr="008E68BA">
              <w:rPr>
                <w:rFonts w:ascii="Arial" w:hAnsi="Arial" w:cs="Arial"/>
                <w:color w:val="333333"/>
              </w:rPr>
              <w:t>15</w:t>
            </w:r>
          </w:p>
        </w:tc>
        <w:tc>
          <w:tcPr>
            <w:tcW w:w="1189" w:type="dxa"/>
            <w:shd w:val="clear" w:color="auto" w:fill="auto"/>
            <w:tcMar>
              <w:right w:w="170" w:type="dxa"/>
            </w:tcMar>
            <w:vAlign w:val="center"/>
          </w:tcPr>
          <w:p w14:paraId="3459C97A" w14:textId="77777777" w:rsidR="00B2653E" w:rsidRPr="008E68BA" w:rsidRDefault="00B2653E" w:rsidP="008E68BA">
            <w:pPr>
              <w:rPr>
                <w:rFonts w:ascii="Arial" w:hAnsi="Arial" w:cs="Arial"/>
                <w:color w:val="000000" w:themeColor="text1"/>
              </w:rPr>
            </w:pPr>
            <w:r w:rsidRPr="008E68BA">
              <w:rPr>
                <w:rFonts w:ascii="Arial" w:hAnsi="Arial" w:cs="Arial"/>
                <w:color w:val="333333"/>
              </w:rPr>
              <w:t>1</w:t>
            </w:r>
          </w:p>
        </w:tc>
        <w:tc>
          <w:tcPr>
            <w:tcW w:w="1134" w:type="dxa"/>
            <w:shd w:val="clear" w:color="auto" w:fill="auto"/>
            <w:tcMar>
              <w:right w:w="170" w:type="dxa"/>
            </w:tcMar>
            <w:vAlign w:val="center"/>
          </w:tcPr>
          <w:p w14:paraId="73931DB7" w14:textId="77777777" w:rsidR="00B2653E" w:rsidRPr="008E68BA" w:rsidRDefault="00B2653E" w:rsidP="008E68BA">
            <w:pPr>
              <w:rPr>
                <w:rFonts w:ascii="Arial" w:hAnsi="Arial" w:cs="Arial"/>
                <w:color w:val="000000" w:themeColor="text1"/>
              </w:rPr>
            </w:pPr>
            <w:r w:rsidRPr="008E68BA">
              <w:rPr>
                <w:rFonts w:ascii="Arial" w:hAnsi="Arial" w:cs="Arial"/>
                <w:color w:val="333333"/>
              </w:rPr>
              <w:t>3</w:t>
            </w:r>
          </w:p>
        </w:tc>
        <w:tc>
          <w:tcPr>
            <w:tcW w:w="1134" w:type="dxa"/>
            <w:shd w:val="clear" w:color="auto" w:fill="auto"/>
            <w:tcMar>
              <w:right w:w="170" w:type="dxa"/>
            </w:tcMar>
            <w:vAlign w:val="center"/>
          </w:tcPr>
          <w:p w14:paraId="6DE7F1DC" w14:textId="77777777" w:rsidR="00B2653E" w:rsidRPr="008E68BA" w:rsidRDefault="00B2653E" w:rsidP="008E68BA">
            <w:pPr>
              <w:rPr>
                <w:rFonts w:ascii="Arial" w:hAnsi="Arial" w:cs="Arial"/>
                <w:color w:val="000000" w:themeColor="text1"/>
              </w:rPr>
            </w:pPr>
            <w:r w:rsidRPr="008E68BA">
              <w:rPr>
                <w:rFonts w:ascii="Arial" w:hAnsi="Arial" w:cs="Arial"/>
                <w:color w:val="333333"/>
              </w:rPr>
              <w:t>3</w:t>
            </w:r>
          </w:p>
        </w:tc>
        <w:tc>
          <w:tcPr>
            <w:tcW w:w="851" w:type="dxa"/>
            <w:shd w:val="clear" w:color="auto" w:fill="auto"/>
            <w:vAlign w:val="center"/>
          </w:tcPr>
          <w:p w14:paraId="763672D7" w14:textId="77777777" w:rsidR="00B2653E" w:rsidRPr="008E68BA" w:rsidRDefault="00B2653E" w:rsidP="008E68BA">
            <w:pPr>
              <w:rPr>
                <w:rFonts w:ascii="Arial" w:hAnsi="Arial" w:cs="Arial"/>
                <w:color w:val="000000" w:themeColor="text1"/>
              </w:rPr>
            </w:pPr>
            <w:r w:rsidRPr="008E68BA">
              <w:rPr>
                <w:rFonts w:ascii="Arial" w:hAnsi="Arial" w:cs="Arial"/>
                <w:color w:val="333333"/>
              </w:rPr>
              <w:t>1.6%</w:t>
            </w:r>
          </w:p>
        </w:tc>
        <w:tc>
          <w:tcPr>
            <w:tcW w:w="1134" w:type="dxa"/>
            <w:shd w:val="clear" w:color="auto" w:fill="auto"/>
            <w:tcMar>
              <w:right w:w="170" w:type="dxa"/>
            </w:tcMar>
            <w:vAlign w:val="center"/>
          </w:tcPr>
          <w:p w14:paraId="21E08DEE" w14:textId="77777777" w:rsidR="00B2653E" w:rsidRPr="008E68BA" w:rsidRDefault="00B2653E" w:rsidP="008E68BA">
            <w:pPr>
              <w:rPr>
                <w:rFonts w:ascii="Arial" w:hAnsi="Arial" w:cs="Arial"/>
                <w:color w:val="000000" w:themeColor="text1"/>
              </w:rPr>
            </w:pPr>
            <w:r w:rsidRPr="008E68BA">
              <w:rPr>
                <w:rFonts w:ascii="Arial" w:hAnsi="Arial" w:cs="Arial"/>
                <w:color w:val="333333"/>
              </w:rPr>
              <w:t>0.1%</w:t>
            </w:r>
          </w:p>
        </w:tc>
        <w:tc>
          <w:tcPr>
            <w:tcW w:w="850" w:type="dxa"/>
            <w:shd w:val="clear" w:color="auto" w:fill="auto"/>
            <w:tcMar>
              <w:right w:w="170" w:type="dxa"/>
            </w:tcMar>
            <w:vAlign w:val="center"/>
          </w:tcPr>
          <w:p w14:paraId="3EB1A59F" w14:textId="77777777" w:rsidR="00B2653E" w:rsidRPr="008E68BA" w:rsidRDefault="00B2653E" w:rsidP="008E68BA">
            <w:pPr>
              <w:rPr>
                <w:rFonts w:ascii="Arial" w:hAnsi="Arial" w:cs="Arial"/>
                <w:color w:val="000000" w:themeColor="text1"/>
              </w:rPr>
            </w:pPr>
            <w:r w:rsidRPr="008E68BA">
              <w:rPr>
                <w:rFonts w:ascii="Arial" w:hAnsi="Arial" w:cs="Arial"/>
                <w:color w:val="333333"/>
              </w:rPr>
              <w:t>0.3%</w:t>
            </w:r>
          </w:p>
        </w:tc>
        <w:tc>
          <w:tcPr>
            <w:tcW w:w="851" w:type="dxa"/>
            <w:shd w:val="clear" w:color="auto" w:fill="auto"/>
            <w:tcMar>
              <w:right w:w="170" w:type="dxa"/>
            </w:tcMar>
            <w:vAlign w:val="center"/>
          </w:tcPr>
          <w:p w14:paraId="402BAD83" w14:textId="77777777" w:rsidR="00B2653E" w:rsidRPr="008E68BA" w:rsidRDefault="00B2653E" w:rsidP="008E68BA">
            <w:pPr>
              <w:rPr>
                <w:rFonts w:ascii="Arial" w:hAnsi="Arial" w:cs="Arial"/>
                <w:color w:val="000000" w:themeColor="text1"/>
              </w:rPr>
            </w:pPr>
            <w:r w:rsidRPr="008E68BA">
              <w:rPr>
                <w:rFonts w:ascii="Arial" w:hAnsi="Arial" w:cs="Arial"/>
                <w:color w:val="333333"/>
              </w:rPr>
              <w:t>0.3%</w:t>
            </w:r>
          </w:p>
        </w:tc>
      </w:tr>
      <w:tr w:rsidR="00B2653E" w:rsidRPr="008E68BA" w14:paraId="6F322D2A" w14:textId="77777777" w:rsidTr="00E15C13">
        <w:trPr>
          <w:trHeight w:val="268"/>
        </w:trPr>
        <w:tc>
          <w:tcPr>
            <w:tcW w:w="1229" w:type="dxa"/>
            <w:shd w:val="clear" w:color="auto" w:fill="B4C6E7" w:themeFill="accent5" w:themeFillTint="66"/>
            <w:vAlign w:val="center"/>
          </w:tcPr>
          <w:p w14:paraId="7BCE1607" w14:textId="77777777" w:rsidR="00B2653E" w:rsidRPr="008E68BA" w:rsidRDefault="00B2653E" w:rsidP="008E68BA">
            <w:pPr>
              <w:pStyle w:val="TableBody"/>
              <w:rPr>
                <w:rFonts w:cs="Arial"/>
                <w:b/>
                <w:color w:val="000000" w:themeColor="text1"/>
                <w:sz w:val="24"/>
                <w:szCs w:val="24"/>
              </w:rPr>
            </w:pPr>
            <w:r w:rsidRPr="008E68BA">
              <w:rPr>
                <w:rFonts w:cs="Arial"/>
                <w:b/>
                <w:color w:val="000000" w:themeColor="text1"/>
                <w:sz w:val="24"/>
                <w:szCs w:val="24"/>
              </w:rPr>
              <w:t>Scotland</w:t>
            </w:r>
          </w:p>
        </w:tc>
        <w:tc>
          <w:tcPr>
            <w:tcW w:w="1017" w:type="dxa"/>
            <w:shd w:val="clear" w:color="auto" w:fill="B4C6E7" w:themeFill="accent5" w:themeFillTint="66"/>
            <w:vAlign w:val="center"/>
          </w:tcPr>
          <w:p w14:paraId="2C2FFCF6" w14:textId="77777777" w:rsidR="00B2653E" w:rsidRPr="008E68BA" w:rsidRDefault="00B2653E" w:rsidP="008E68BA">
            <w:pPr>
              <w:rPr>
                <w:rFonts w:ascii="Arial" w:hAnsi="Arial" w:cs="Arial"/>
                <w:b/>
                <w:bCs/>
                <w:color w:val="000000" w:themeColor="text1"/>
              </w:rPr>
            </w:pPr>
            <w:r w:rsidRPr="008E68BA">
              <w:rPr>
                <w:rFonts w:ascii="Arial" w:hAnsi="Arial" w:cs="Arial"/>
                <w:b/>
                <w:color w:val="333333"/>
              </w:rPr>
              <w:t>630,034</w:t>
            </w:r>
          </w:p>
        </w:tc>
        <w:tc>
          <w:tcPr>
            <w:tcW w:w="1101" w:type="dxa"/>
            <w:shd w:val="clear" w:color="auto" w:fill="B4C6E7" w:themeFill="accent5" w:themeFillTint="66"/>
            <w:vAlign w:val="center"/>
          </w:tcPr>
          <w:p w14:paraId="48082AEE" w14:textId="77777777" w:rsidR="00B2653E" w:rsidRPr="008E68BA" w:rsidRDefault="00B2653E" w:rsidP="008E68BA">
            <w:pPr>
              <w:rPr>
                <w:rFonts w:ascii="Arial" w:hAnsi="Arial" w:cs="Arial"/>
                <w:b/>
                <w:color w:val="000000" w:themeColor="text1"/>
              </w:rPr>
            </w:pPr>
            <w:r w:rsidRPr="008E68BA">
              <w:rPr>
                <w:rFonts w:ascii="Arial" w:hAnsi="Arial" w:cs="Arial"/>
                <w:b/>
                <w:color w:val="333333"/>
              </w:rPr>
              <w:t>11,841</w:t>
            </w:r>
          </w:p>
        </w:tc>
        <w:tc>
          <w:tcPr>
            <w:tcW w:w="1189" w:type="dxa"/>
            <w:shd w:val="clear" w:color="auto" w:fill="B4C6E7" w:themeFill="accent5" w:themeFillTint="66"/>
            <w:tcMar>
              <w:right w:w="170" w:type="dxa"/>
            </w:tcMar>
            <w:vAlign w:val="center"/>
          </w:tcPr>
          <w:p w14:paraId="7C63C3D3" w14:textId="77777777" w:rsidR="00B2653E" w:rsidRPr="008E68BA" w:rsidRDefault="00B2653E" w:rsidP="008E68BA">
            <w:pPr>
              <w:rPr>
                <w:rFonts w:ascii="Arial" w:hAnsi="Arial" w:cs="Arial"/>
                <w:b/>
                <w:color w:val="000000" w:themeColor="text1"/>
              </w:rPr>
            </w:pPr>
            <w:r w:rsidRPr="008E68BA">
              <w:rPr>
                <w:rFonts w:ascii="Arial" w:hAnsi="Arial" w:cs="Arial"/>
                <w:b/>
                <w:color w:val="333333"/>
              </w:rPr>
              <w:t>1,654</w:t>
            </w:r>
          </w:p>
        </w:tc>
        <w:tc>
          <w:tcPr>
            <w:tcW w:w="1134" w:type="dxa"/>
            <w:shd w:val="clear" w:color="auto" w:fill="B4C6E7" w:themeFill="accent5" w:themeFillTint="66"/>
            <w:tcMar>
              <w:right w:w="170" w:type="dxa"/>
            </w:tcMar>
            <w:vAlign w:val="center"/>
          </w:tcPr>
          <w:p w14:paraId="1A5C6DEA" w14:textId="77777777" w:rsidR="00B2653E" w:rsidRPr="008E68BA" w:rsidRDefault="00B2653E" w:rsidP="008E68BA">
            <w:pPr>
              <w:rPr>
                <w:rFonts w:ascii="Arial" w:hAnsi="Arial" w:cs="Arial"/>
                <w:b/>
                <w:color w:val="000000" w:themeColor="text1"/>
              </w:rPr>
            </w:pPr>
            <w:r w:rsidRPr="008E68BA">
              <w:rPr>
                <w:rFonts w:ascii="Arial" w:hAnsi="Arial" w:cs="Arial"/>
                <w:b/>
                <w:color w:val="333333"/>
              </w:rPr>
              <w:t>1,943</w:t>
            </w:r>
          </w:p>
        </w:tc>
        <w:tc>
          <w:tcPr>
            <w:tcW w:w="1134" w:type="dxa"/>
            <w:shd w:val="clear" w:color="auto" w:fill="B4C6E7" w:themeFill="accent5" w:themeFillTint="66"/>
            <w:tcMar>
              <w:right w:w="170" w:type="dxa"/>
            </w:tcMar>
            <w:vAlign w:val="center"/>
          </w:tcPr>
          <w:p w14:paraId="66F17203" w14:textId="77777777" w:rsidR="00B2653E" w:rsidRPr="008E68BA" w:rsidRDefault="00B2653E" w:rsidP="008E68BA">
            <w:pPr>
              <w:rPr>
                <w:rFonts w:ascii="Arial" w:hAnsi="Arial" w:cs="Arial"/>
                <w:b/>
                <w:color w:val="000000" w:themeColor="text1"/>
              </w:rPr>
            </w:pPr>
            <w:r w:rsidRPr="008E68BA">
              <w:rPr>
                <w:rFonts w:ascii="Arial" w:hAnsi="Arial" w:cs="Arial"/>
                <w:b/>
                <w:color w:val="333333"/>
              </w:rPr>
              <w:t>4,309</w:t>
            </w:r>
          </w:p>
        </w:tc>
        <w:tc>
          <w:tcPr>
            <w:tcW w:w="851" w:type="dxa"/>
            <w:shd w:val="clear" w:color="auto" w:fill="B4C6E7" w:themeFill="accent5" w:themeFillTint="66"/>
            <w:vAlign w:val="center"/>
          </w:tcPr>
          <w:p w14:paraId="57AFCC48" w14:textId="77777777" w:rsidR="00B2653E" w:rsidRPr="008E68BA" w:rsidRDefault="00B2653E" w:rsidP="008E68BA">
            <w:pPr>
              <w:rPr>
                <w:rFonts w:ascii="Arial" w:hAnsi="Arial" w:cs="Arial"/>
                <w:b/>
                <w:color w:val="000000" w:themeColor="text1"/>
              </w:rPr>
            </w:pPr>
            <w:r w:rsidRPr="008E68BA">
              <w:rPr>
                <w:rFonts w:ascii="Arial" w:hAnsi="Arial" w:cs="Arial"/>
                <w:b/>
                <w:color w:val="333333"/>
              </w:rPr>
              <w:t>1.9%</w:t>
            </w:r>
          </w:p>
        </w:tc>
        <w:tc>
          <w:tcPr>
            <w:tcW w:w="1134" w:type="dxa"/>
            <w:shd w:val="clear" w:color="auto" w:fill="B4C6E7" w:themeFill="accent5" w:themeFillTint="66"/>
            <w:tcMar>
              <w:right w:w="170" w:type="dxa"/>
            </w:tcMar>
            <w:vAlign w:val="center"/>
          </w:tcPr>
          <w:p w14:paraId="0E3CD547" w14:textId="77777777" w:rsidR="00B2653E" w:rsidRPr="008E68BA" w:rsidRDefault="00B2653E" w:rsidP="008E68BA">
            <w:pPr>
              <w:rPr>
                <w:rFonts w:ascii="Arial" w:hAnsi="Arial" w:cs="Arial"/>
                <w:b/>
                <w:color w:val="000000" w:themeColor="text1"/>
              </w:rPr>
            </w:pPr>
            <w:r w:rsidRPr="008E68BA">
              <w:rPr>
                <w:rFonts w:ascii="Arial" w:hAnsi="Arial" w:cs="Arial"/>
                <w:b/>
                <w:color w:val="333333"/>
              </w:rPr>
              <w:t>0.3%</w:t>
            </w:r>
          </w:p>
        </w:tc>
        <w:tc>
          <w:tcPr>
            <w:tcW w:w="850" w:type="dxa"/>
            <w:shd w:val="clear" w:color="auto" w:fill="B4C6E7" w:themeFill="accent5" w:themeFillTint="66"/>
            <w:tcMar>
              <w:right w:w="170" w:type="dxa"/>
            </w:tcMar>
            <w:vAlign w:val="center"/>
          </w:tcPr>
          <w:p w14:paraId="4ECEC694" w14:textId="77777777" w:rsidR="00B2653E" w:rsidRPr="008E68BA" w:rsidRDefault="00B2653E" w:rsidP="008E68BA">
            <w:pPr>
              <w:rPr>
                <w:rFonts w:ascii="Arial" w:hAnsi="Arial" w:cs="Arial"/>
                <w:b/>
                <w:color w:val="000000" w:themeColor="text1"/>
              </w:rPr>
            </w:pPr>
            <w:r w:rsidRPr="008E68BA">
              <w:rPr>
                <w:rFonts w:ascii="Arial" w:hAnsi="Arial" w:cs="Arial"/>
                <w:b/>
                <w:color w:val="333333"/>
              </w:rPr>
              <w:t>0.3%</w:t>
            </w:r>
          </w:p>
        </w:tc>
        <w:tc>
          <w:tcPr>
            <w:tcW w:w="851" w:type="dxa"/>
            <w:shd w:val="clear" w:color="auto" w:fill="B4C6E7" w:themeFill="accent5" w:themeFillTint="66"/>
            <w:tcMar>
              <w:right w:w="170" w:type="dxa"/>
            </w:tcMar>
            <w:vAlign w:val="center"/>
          </w:tcPr>
          <w:p w14:paraId="6DA50809" w14:textId="77777777" w:rsidR="00B2653E" w:rsidRPr="008E68BA" w:rsidRDefault="00B2653E" w:rsidP="008E68BA">
            <w:pPr>
              <w:rPr>
                <w:rFonts w:ascii="Arial" w:hAnsi="Arial" w:cs="Arial"/>
                <w:b/>
                <w:color w:val="000000" w:themeColor="text1"/>
              </w:rPr>
            </w:pPr>
            <w:r w:rsidRPr="008E68BA">
              <w:rPr>
                <w:rFonts w:ascii="Arial" w:hAnsi="Arial" w:cs="Arial"/>
                <w:b/>
                <w:color w:val="333333"/>
              </w:rPr>
              <w:t>0.7%</w:t>
            </w:r>
          </w:p>
        </w:tc>
      </w:tr>
    </w:tbl>
    <w:p w14:paraId="0DAB9FA3" w14:textId="77777777" w:rsidR="00B2653E" w:rsidRPr="008E68BA" w:rsidRDefault="00B2653E" w:rsidP="008E68BA">
      <w:pPr>
        <w:rPr>
          <w:rFonts w:ascii="Arial" w:hAnsi="Arial" w:cs="Arial"/>
          <w:b/>
        </w:rPr>
      </w:pPr>
    </w:p>
    <w:p w14:paraId="6F0D0DC9" w14:textId="77777777" w:rsidR="00B2653E" w:rsidRPr="008E68BA" w:rsidRDefault="00B2653E" w:rsidP="008E68BA">
      <w:pPr>
        <w:rPr>
          <w:rFonts w:ascii="Arial" w:hAnsi="Arial" w:cs="Arial"/>
          <w:b/>
        </w:rPr>
      </w:pPr>
    </w:p>
    <w:p w14:paraId="780495E1" w14:textId="0E3AE81A" w:rsidR="00251FE2" w:rsidRPr="008E68BA" w:rsidRDefault="00251FE2" w:rsidP="008E68BA">
      <w:pPr>
        <w:rPr>
          <w:rFonts w:ascii="Arial" w:hAnsi="Arial" w:cs="Arial"/>
          <w:b/>
          <w:iCs/>
          <w:color w:val="FF0000"/>
        </w:rPr>
      </w:pPr>
      <w:r w:rsidRPr="008E68BA">
        <w:rPr>
          <w:rFonts w:ascii="Arial" w:hAnsi="Arial" w:cs="Arial"/>
          <w:b/>
          <w:iCs/>
        </w:rPr>
        <w:t xml:space="preserve">Outbreaks or Incidents in </w:t>
      </w:r>
      <w:r w:rsidR="006F46DC" w:rsidRPr="008E68BA">
        <w:rPr>
          <w:rFonts w:ascii="Arial" w:hAnsi="Arial" w:cs="Arial"/>
          <w:b/>
          <w:iCs/>
          <w:color w:val="000000" w:themeColor="text1"/>
        </w:rPr>
        <w:t>September and October 2021</w:t>
      </w:r>
    </w:p>
    <w:p w14:paraId="62F6C828" w14:textId="77777777" w:rsidR="00920464" w:rsidRPr="008E68BA" w:rsidRDefault="00920464" w:rsidP="008E68BA">
      <w:pPr>
        <w:rPr>
          <w:rFonts w:ascii="Arial" w:hAnsi="Arial" w:cs="Arial"/>
          <w:b/>
          <w:iCs/>
        </w:rPr>
      </w:pPr>
    </w:p>
    <w:p w14:paraId="30698445" w14:textId="77777777" w:rsidR="00991F47" w:rsidRPr="008E68BA" w:rsidRDefault="00991F47" w:rsidP="008E68BA">
      <w:pPr>
        <w:ind w:right="283"/>
        <w:rPr>
          <w:rFonts w:ascii="Arial" w:hAnsi="Arial" w:cs="Arial"/>
          <w:b/>
        </w:rPr>
      </w:pPr>
      <w:r w:rsidRPr="008E68BA">
        <w:rPr>
          <w:rFonts w:ascii="Arial" w:hAnsi="Arial" w:cs="Arial"/>
          <w:b/>
        </w:rPr>
        <w:t>Outbreaks / Incidents</w:t>
      </w:r>
    </w:p>
    <w:p w14:paraId="5B040775" w14:textId="77777777" w:rsidR="002F4B96" w:rsidRPr="008E68BA" w:rsidRDefault="002F4B96" w:rsidP="008E68BA">
      <w:pPr>
        <w:ind w:right="283"/>
        <w:rPr>
          <w:rFonts w:ascii="Arial" w:hAnsi="Arial" w:cs="Arial"/>
          <w:b/>
          <w:iCs/>
        </w:rPr>
      </w:pPr>
    </w:p>
    <w:p w14:paraId="6A5E6D1D" w14:textId="77777777" w:rsidR="000B3C05" w:rsidRPr="008E68BA" w:rsidRDefault="00CE7342" w:rsidP="008E68BA">
      <w:pPr>
        <w:ind w:right="141"/>
        <w:rPr>
          <w:rFonts w:ascii="Arial" w:hAnsi="Arial" w:cs="Arial"/>
          <w:lang w:eastAsia="en-US"/>
        </w:rPr>
      </w:pPr>
      <w:r w:rsidRPr="008E68BA">
        <w:rPr>
          <w:rFonts w:ascii="Arial" w:hAnsi="Arial" w:cs="Arial"/>
          <w:lang w:eastAsia="en-US"/>
        </w:rPr>
        <w:t>Outbreaks and incidents across NHSGGC are identified primarily thr</w:t>
      </w:r>
      <w:r w:rsidR="004A0CD1" w:rsidRPr="008E68BA">
        <w:rPr>
          <w:rFonts w:ascii="Arial" w:hAnsi="Arial" w:cs="Arial"/>
          <w:lang w:eastAsia="en-US"/>
        </w:rPr>
        <w:t xml:space="preserve">ough </w:t>
      </w:r>
      <w:proofErr w:type="spellStart"/>
      <w:r w:rsidR="004A0CD1" w:rsidRPr="008E68BA">
        <w:rPr>
          <w:rFonts w:ascii="Arial" w:hAnsi="Arial" w:cs="Arial"/>
          <w:lang w:eastAsia="en-US"/>
        </w:rPr>
        <w:t>ICNet</w:t>
      </w:r>
      <w:proofErr w:type="spellEnd"/>
      <w:r w:rsidR="004A0CD1" w:rsidRPr="008E68BA">
        <w:rPr>
          <w:rFonts w:ascii="Arial" w:hAnsi="Arial" w:cs="Arial"/>
          <w:lang w:eastAsia="en-US"/>
        </w:rPr>
        <w:t xml:space="preserve"> (surveillance softwa</w:t>
      </w:r>
      <w:r w:rsidRPr="008E68BA">
        <w:rPr>
          <w:rFonts w:ascii="Arial" w:hAnsi="Arial" w:cs="Arial"/>
          <w:lang w:eastAsia="en-US"/>
        </w:rPr>
        <w:t>r</w:t>
      </w:r>
      <w:r w:rsidR="004A0CD1" w:rsidRPr="008E68BA">
        <w:rPr>
          <w:rFonts w:ascii="Arial" w:hAnsi="Arial" w:cs="Arial"/>
          <w:lang w:eastAsia="en-US"/>
        </w:rPr>
        <w:t>e</w:t>
      </w:r>
      <w:r w:rsidRPr="008E68BA">
        <w:rPr>
          <w:rFonts w:ascii="Arial" w:hAnsi="Arial" w:cs="Arial"/>
          <w:lang w:eastAsia="en-US"/>
        </w:rPr>
        <w:t xml:space="preserve"> package)</w:t>
      </w:r>
      <w:r w:rsidR="00FF2E88" w:rsidRPr="008E68BA">
        <w:rPr>
          <w:rFonts w:ascii="Arial" w:hAnsi="Arial" w:cs="Arial"/>
          <w:lang w:eastAsia="en-US"/>
        </w:rPr>
        <w:t>,</w:t>
      </w:r>
      <w:r w:rsidRPr="008E68BA">
        <w:rPr>
          <w:rFonts w:ascii="Arial" w:hAnsi="Arial" w:cs="Arial"/>
          <w:lang w:eastAsia="en-US"/>
        </w:rPr>
        <w:t xml:space="preserve"> microbiology colleagues or from the ward.  </w:t>
      </w:r>
      <w:proofErr w:type="spellStart"/>
      <w:r w:rsidRPr="008E68BA">
        <w:rPr>
          <w:rFonts w:ascii="Arial" w:hAnsi="Arial" w:cs="Arial"/>
          <w:lang w:eastAsia="en-US"/>
        </w:rPr>
        <w:t>ICNet</w:t>
      </w:r>
      <w:proofErr w:type="spellEnd"/>
      <w:r w:rsidRPr="008E68BA">
        <w:rPr>
          <w:rFonts w:ascii="Arial" w:hAnsi="Arial" w:cs="Arial"/>
          <w:lang w:eastAsia="en-US"/>
        </w:rPr>
        <w:t xml:space="preserve"> automatically identifies clusters of infections of specific organisms based on appendix 13 of the National Infection Prevention &amp; Control Manual (NIPCM) to enable timely patient management to prevent any possible spread of infection.  </w:t>
      </w:r>
      <w:r w:rsidR="000B3C05" w:rsidRPr="008E68BA">
        <w:rPr>
          <w:rFonts w:ascii="Arial" w:hAnsi="Arial" w:cs="Arial"/>
          <w:lang w:eastAsia="en-US"/>
        </w:rPr>
        <w:t>The identification of outbreaks is determined following discussion with the Infection Control Doctor/Microbiologist.  In the event of a possible or confirmed outbreak/incident a Problem Assessment Group (PAG) or IMT meeting is held with staff from the area concerned, and actions are implemented to control further infection and transmission.</w:t>
      </w:r>
    </w:p>
    <w:p w14:paraId="438CCFF2" w14:textId="77777777" w:rsidR="000B3C05" w:rsidRPr="008E68BA" w:rsidRDefault="000B3C05" w:rsidP="008E68BA">
      <w:pPr>
        <w:spacing w:before="120"/>
        <w:ind w:right="142"/>
        <w:rPr>
          <w:rFonts w:ascii="Arial" w:hAnsi="Arial" w:cs="Arial"/>
          <w:lang w:eastAsia="en-US"/>
        </w:rPr>
      </w:pPr>
      <w:r w:rsidRPr="008E68BA">
        <w:rPr>
          <w:rFonts w:ascii="Arial" w:hAnsi="Arial" w:cs="Arial"/>
          <w:lang w:eastAsia="en-US"/>
        </w:rPr>
        <w:t xml:space="preserve">The ARHAI Healthcare Infection Incident Assessment Tool (HIIAT) is a tool used by the IMT to assess the impact of the outbreak or incident.  The tool is a risk assessment and allows The IMT to rate the outbreak/incident as </w:t>
      </w:r>
      <w:r w:rsidRPr="008E68BA">
        <w:rPr>
          <w:rFonts w:ascii="Arial" w:hAnsi="Arial" w:cs="Arial"/>
          <w:color w:val="FF0000"/>
          <w:lang w:eastAsia="en-US"/>
        </w:rPr>
        <w:t>RED</w:t>
      </w:r>
      <w:r w:rsidRPr="008E68BA">
        <w:rPr>
          <w:rFonts w:ascii="Arial" w:hAnsi="Arial" w:cs="Arial"/>
          <w:lang w:eastAsia="en-US"/>
        </w:rPr>
        <w:t xml:space="preserve">, </w:t>
      </w:r>
      <w:r w:rsidRPr="008E68BA">
        <w:rPr>
          <w:rFonts w:ascii="Arial" w:hAnsi="Arial" w:cs="Arial"/>
          <w:color w:val="FFC000"/>
          <w:lang w:eastAsia="en-US"/>
        </w:rPr>
        <w:t>AMBER</w:t>
      </w:r>
      <w:r w:rsidRPr="008E68BA">
        <w:rPr>
          <w:rFonts w:ascii="Arial" w:hAnsi="Arial" w:cs="Arial"/>
          <w:lang w:eastAsia="en-US"/>
        </w:rPr>
        <w:t xml:space="preserve">, or </w:t>
      </w:r>
      <w:r w:rsidRPr="008E68BA">
        <w:rPr>
          <w:rFonts w:ascii="Arial" w:hAnsi="Arial" w:cs="Arial"/>
          <w:color w:val="00B050"/>
          <w:lang w:eastAsia="en-US"/>
        </w:rPr>
        <w:t>GREEN</w:t>
      </w:r>
      <w:r w:rsidRPr="008E68BA">
        <w:rPr>
          <w:rFonts w:ascii="Arial" w:hAnsi="Arial" w:cs="Arial"/>
          <w:lang w:eastAsia="en-US"/>
        </w:rPr>
        <w:t xml:space="preserve">.  </w:t>
      </w:r>
    </w:p>
    <w:p w14:paraId="0C124BA9" w14:textId="77777777" w:rsidR="000B3C05" w:rsidRPr="008E68BA" w:rsidRDefault="000B3C05" w:rsidP="008E68BA">
      <w:pPr>
        <w:rPr>
          <w:rFonts w:ascii="Arial" w:hAnsi="Arial" w:cs="Arial"/>
          <w:lang w:eastAsia="en-US"/>
        </w:rPr>
      </w:pPr>
    </w:p>
    <w:p w14:paraId="34ED5695" w14:textId="77777777" w:rsidR="000B3C05" w:rsidRPr="008E68BA" w:rsidRDefault="000B3C05" w:rsidP="008E68BA">
      <w:pPr>
        <w:rPr>
          <w:rFonts w:ascii="Arial" w:hAnsi="Arial" w:cs="Arial"/>
          <w:lang w:eastAsia="en-US"/>
        </w:rPr>
      </w:pPr>
      <w:r w:rsidRPr="008E68BA">
        <w:rPr>
          <w:rFonts w:ascii="Arial" w:hAnsi="Arial" w:cs="Arial"/>
          <w:lang w:eastAsia="en-US"/>
        </w:rPr>
        <w:t>All incidents, regardless of assessment, are reported to the Antimicrobial Resistance &amp; Healthcare Associated Infection (ARHAI) group. A link to the reports for NHS Greater Glasgow and Clyde is below:</w:t>
      </w:r>
    </w:p>
    <w:p w14:paraId="03FFC98F" w14:textId="4D845FDD" w:rsidR="00CE7342" w:rsidRPr="008E68BA" w:rsidRDefault="00CE7342" w:rsidP="008E68BA">
      <w:pPr>
        <w:ind w:right="141"/>
        <w:rPr>
          <w:rFonts w:ascii="Arial" w:hAnsi="Arial" w:cs="Arial"/>
        </w:rPr>
      </w:pPr>
    </w:p>
    <w:p w14:paraId="06E42634" w14:textId="77777777" w:rsidR="00CE7342" w:rsidRPr="008E68BA" w:rsidRDefault="008E68BA" w:rsidP="008E68BA">
      <w:pPr>
        <w:rPr>
          <w:rFonts w:ascii="Arial" w:hAnsi="Arial" w:cs="Arial"/>
        </w:rPr>
      </w:pPr>
      <w:hyperlink r:id="rId19" w:history="1">
        <w:r w:rsidR="00CE7342" w:rsidRPr="008E68BA">
          <w:rPr>
            <w:rStyle w:val="Hyperlink"/>
            <w:rFonts w:ascii="Arial" w:hAnsi="Arial" w:cs="Arial"/>
          </w:rPr>
          <w:t>https://www.nhsggc.org.uk/your-health/infection-prevention-and-control/reports-and-publications/hai-reports-hairt/</w:t>
        </w:r>
      </w:hyperlink>
    </w:p>
    <w:p w14:paraId="5FD4899C" w14:textId="77777777" w:rsidR="00331257" w:rsidRPr="008E68BA" w:rsidRDefault="00331257" w:rsidP="008E68BA">
      <w:pPr>
        <w:rPr>
          <w:rStyle w:val="Strong"/>
          <w:rFonts w:ascii="Arial" w:hAnsi="Arial" w:cs="Arial"/>
        </w:rPr>
      </w:pPr>
    </w:p>
    <w:p w14:paraId="77B000B5" w14:textId="5EA4A35B" w:rsidR="00394BF8" w:rsidRPr="008E68BA" w:rsidRDefault="00394BF8" w:rsidP="008E68BA">
      <w:pPr>
        <w:rPr>
          <w:rStyle w:val="Strong"/>
          <w:rFonts w:ascii="Arial" w:hAnsi="Arial" w:cs="Arial"/>
        </w:rPr>
      </w:pPr>
      <w:r w:rsidRPr="008E68BA">
        <w:rPr>
          <w:rStyle w:val="Strong"/>
          <w:rFonts w:ascii="Arial" w:hAnsi="Arial" w:cs="Arial"/>
        </w:rPr>
        <w:br w:type="page"/>
      </w:r>
    </w:p>
    <w:p w14:paraId="6D1BB266" w14:textId="77777777" w:rsidR="00331257" w:rsidRPr="008E68BA" w:rsidRDefault="00331257" w:rsidP="008E68BA">
      <w:pPr>
        <w:rPr>
          <w:rStyle w:val="Strong"/>
          <w:rFonts w:ascii="Arial" w:hAnsi="Arial" w:cs="Arial"/>
        </w:rPr>
      </w:pPr>
    </w:p>
    <w:p w14:paraId="579C9985" w14:textId="77777777" w:rsidR="00991F47" w:rsidRPr="008E68BA" w:rsidRDefault="00170543" w:rsidP="008E68BA">
      <w:pPr>
        <w:rPr>
          <w:rStyle w:val="Strong"/>
          <w:rFonts w:ascii="Arial" w:hAnsi="Arial" w:cs="Arial"/>
        </w:rPr>
      </w:pPr>
      <w:r w:rsidRPr="008E68BA">
        <w:rPr>
          <w:rStyle w:val="Strong"/>
          <w:rFonts w:ascii="Arial" w:hAnsi="Arial" w:cs="Arial"/>
        </w:rPr>
        <w:t>HIIAT</w:t>
      </w:r>
    </w:p>
    <w:p w14:paraId="2DBA5930" w14:textId="77777777" w:rsidR="00991F47" w:rsidRPr="008E68BA" w:rsidRDefault="00991F47" w:rsidP="008E68BA">
      <w:pPr>
        <w:rPr>
          <w:rFonts w:ascii="Arial" w:hAnsi="Arial" w:cs="Arial"/>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991F47" w:rsidRPr="008E68BA" w14:paraId="1E85874C" w14:textId="77777777" w:rsidTr="006170C4">
        <w:tc>
          <w:tcPr>
            <w:tcW w:w="8926" w:type="dxa"/>
            <w:shd w:val="clear" w:color="auto" w:fill="auto"/>
          </w:tcPr>
          <w:p w14:paraId="60FC400E" w14:textId="5A705F95" w:rsidR="00991F47" w:rsidRPr="008E68BA" w:rsidRDefault="00991F47" w:rsidP="008E68BA">
            <w:pPr>
              <w:spacing w:before="120"/>
              <w:ind w:right="142"/>
              <w:rPr>
                <w:rFonts w:ascii="Arial" w:hAnsi="Arial" w:cs="Arial"/>
              </w:rPr>
            </w:pPr>
            <w:r w:rsidRPr="008E68BA">
              <w:rPr>
                <w:rFonts w:ascii="Arial" w:hAnsi="Arial" w:cs="Arial"/>
                <w:spacing w:val="-4"/>
              </w:rPr>
              <w:t>The HIIAT is a tool used by boards to assess the impact of an outbreak or incident.  The tool is a risk assessment</w:t>
            </w:r>
            <w:r w:rsidRPr="008E68BA">
              <w:rPr>
                <w:rFonts w:ascii="Arial" w:hAnsi="Arial" w:cs="Arial"/>
              </w:rPr>
              <w:t xml:space="preserve"> and allows boards to rate the outbreak/incident as RED, AMBER, or GREEN.  ARHAI</w:t>
            </w:r>
            <w:r w:rsidR="002E53E1" w:rsidRPr="008E68BA">
              <w:rPr>
                <w:rFonts w:ascii="Arial" w:hAnsi="Arial" w:cs="Arial"/>
              </w:rPr>
              <w:t xml:space="preserve"> are informed of all incidents who onward report to the </w:t>
            </w:r>
            <w:r w:rsidRPr="008E68BA">
              <w:rPr>
                <w:rFonts w:ascii="Arial" w:hAnsi="Arial" w:cs="Arial"/>
              </w:rPr>
              <w:t xml:space="preserve">Scottish Government Health and Social Care </w:t>
            </w:r>
            <w:r w:rsidR="001947FE" w:rsidRPr="008E68BA">
              <w:rPr>
                <w:rFonts w:ascii="Arial" w:hAnsi="Arial" w:cs="Arial"/>
              </w:rPr>
              <w:t xml:space="preserve">Directorate </w:t>
            </w:r>
            <w:r w:rsidRPr="008E68BA">
              <w:rPr>
                <w:rFonts w:ascii="Arial" w:hAnsi="Arial" w:cs="Arial"/>
              </w:rPr>
              <w:t>(SGHSC</w:t>
            </w:r>
            <w:r w:rsidR="001947FE" w:rsidRPr="008E68BA">
              <w:rPr>
                <w:rFonts w:ascii="Arial" w:hAnsi="Arial" w:cs="Arial"/>
              </w:rPr>
              <w:t>D</w:t>
            </w:r>
            <w:r w:rsidRPr="008E68BA">
              <w:rPr>
                <w:rFonts w:ascii="Arial" w:hAnsi="Arial" w:cs="Arial"/>
              </w:rPr>
              <w:t>)</w:t>
            </w:r>
            <w:r w:rsidR="002E53E1" w:rsidRPr="008E68BA">
              <w:rPr>
                <w:rFonts w:ascii="Arial" w:hAnsi="Arial" w:cs="Arial"/>
              </w:rPr>
              <w:t>.</w:t>
            </w:r>
          </w:p>
          <w:p w14:paraId="48324D13" w14:textId="77777777" w:rsidR="00991F47" w:rsidRPr="008E68BA" w:rsidRDefault="00991F47" w:rsidP="008E68BA">
            <w:pPr>
              <w:ind w:firstLine="220"/>
              <w:rPr>
                <w:rFonts w:ascii="Arial" w:hAnsi="Arial" w:cs="Arial"/>
              </w:rPr>
            </w:pPr>
          </w:p>
          <w:p w14:paraId="4CC3B2A2" w14:textId="1FDA90AA" w:rsidR="00991F47" w:rsidRPr="008E68BA" w:rsidRDefault="00991F47" w:rsidP="008E68BA">
            <w:pPr>
              <w:tabs>
                <w:tab w:val="left" w:pos="1701"/>
              </w:tabs>
              <w:ind w:firstLine="220"/>
              <w:rPr>
                <w:rFonts w:ascii="Arial" w:hAnsi="Arial" w:cs="Arial"/>
              </w:rPr>
            </w:pPr>
            <w:r w:rsidRPr="008E68BA">
              <w:rPr>
                <w:rFonts w:ascii="Arial" w:hAnsi="Arial" w:cs="Arial"/>
              </w:rPr>
              <w:t xml:space="preserve">HIIAT </w:t>
            </w:r>
            <w:r w:rsidRPr="008E68BA">
              <w:rPr>
                <w:rFonts w:ascii="Arial" w:hAnsi="Arial" w:cs="Arial"/>
                <w:color w:val="00B050"/>
              </w:rPr>
              <w:t xml:space="preserve">GREEN </w:t>
            </w:r>
            <w:r w:rsidRPr="008E68BA">
              <w:rPr>
                <w:rFonts w:ascii="Arial" w:hAnsi="Arial" w:cs="Arial"/>
              </w:rPr>
              <w:t>-</w:t>
            </w:r>
            <w:r w:rsidRPr="008E68BA">
              <w:rPr>
                <w:rFonts w:ascii="Arial" w:hAnsi="Arial" w:cs="Arial"/>
              </w:rPr>
              <w:tab/>
              <w:t xml:space="preserve"> </w:t>
            </w:r>
            <w:r w:rsidR="00BE457F" w:rsidRPr="008E68BA">
              <w:rPr>
                <w:rFonts w:ascii="Arial" w:hAnsi="Arial" w:cs="Arial"/>
              </w:rPr>
              <w:t>3</w:t>
            </w:r>
            <w:r w:rsidR="002D3943" w:rsidRPr="008E68BA">
              <w:rPr>
                <w:rFonts w:ascii="Arial" w:hAnsi="Arial" w:cs="Arial"/>
              </w:rPr>
              <w:t xml:space="preserve"> report</w:t>
            </w:r>
            <w:r w:rsidR="00F91C7E" w:rsidRPr="008E68BA">
              <w:rPr>
                <w:rFonts w:ascii="Arial" w:hAnsi="Arial" w:cs="Arial"/>
              </w:rPr>
              <w:t>ed</w:t>
            </w:r>
            <w:r w:rsidR="002D3943" w:rsidRPr="008E68BA">
              <w:rPr>
                <w:rFonts w:ascii="Arial" w:hAnsi="Arial" w:cs="Arial"/>
              </w:rPr>
              <w:t xml:space="preserve"> for </w:t>
            </w:r>
            <w:r w:rsidR="00BE457F" w:rsidRPr="008E68BA">
              <w:rPr>
                <w:rFonts w:ascii="Arial" w:hAnsi="Arial" w:cs="Arial"/>
              </w:rPr>
              <w:t>September, 1</w:t>
            </w:r>
            <w:r w:rsidR="001947FE" w:rsidRPr="008E68BA">
              <w:rPr>
                <w:rFonts w:ascii="Arial" w:hAnsi="Arial" w:cs="Arial"/>
              </w:rPr>
              <w:t xml:space="preserve"> for </w:t>
            </w:r>
            <w:r w:rsidR="00954362" w:rsidRPr="008E68BA">
              <w:rPr>
                <w:rFonts w:ascii="Arial" w:hAnsi="Arial" w:cs="Arial"/>
              </w:rPr>
              <w:t>October</w:t>
            </w:r>
            <w:r w:rsidR="00BE457F" w:rsidRPr="008E68BA">
              <w:rPr>
                <w:rFonts w:ascii="Arial" w:hAnsi="Arial" w:cs="Arial"/>
              </w:rPr>
              <w:t xml:space="preserve"> 2021</w:t>
            </w:r>
          </w:p>
          <w:p w14:paraId="0AA8DDCD" w14:textId="0B68FC9E" w:rsidR="00991F47" w:rsidRPr="008E68BA" w:rsidRDefault="00991F47" w:rsidP="008E68BA">
            <w:pPr>
              <w:tabs>
                <w:tab w:val="left" w:pos="1701"/>
              </w:tabs>
              <w:ind w:firstLine="220"/>
              <w:rPr>
                <w:rFonts w:ascii="Arial" w:hAnsi="Arial" w:cs="Arial"/>
              </w:rPr>
            </w:pPr>
            <w:r w:rsidRPr="008E68BA">
              <w:rPr>
                <w:rFonts w:ascii="Arial" w:hAnsi="Arial" w:cs="Arial"/>
              </w:rPr>
              <w:t>HIIAT</w:t>
            </w:r>
            <w:r w:rsidRPr="008E68BA">
              <w:rPr>
                <w:rFonts w:ascii="Arial" w:hAnsi="Arial" w:cs="Arial"/>
                <w:color w:val="FFC000"/>
              </w:rPr>
              <w:t xml:space="preserve"> AMBER</w:t>
            </w:r>
            <w:r w:rsidRPr="008E68BA">
              <w:rPr>
                <w:rFonts w:ascii="Arial" w:hAnsi="Arial" w:cs="Arial"/>
                <w:color w:val="C45911" w:themeColor="accent2" w:themeShade="BF"/>
              </w:rPr>
              <w:t xml:space="preserve"> </w:t>
            </w:r>
            <w:r w:rsidRPr="008E68BA">
              <w:rPr>
                <w:rFonts w:ascii="Arial" w:hAnsi="Arial" w:cs="Arial"/>
              </w:rPr>
              <w:t>-</w:t>
            </w:r>
            <w:r w:rsidRPr="008E68BA">
              <w:rPr>
                <w:rFonts w:ascii="Arial" w:hAnsi="Arial" w:cs="Arial"/>
              </w:rPr>
              <w:tab/>
              <w:t xml:space="preserve"> </w:t>
            </w:r>
            <w:r w:rsidR="00BE457F" w:rsidRPr="008E68BA">
              <w:rPr>
                <w:rFonts w:ascii="Arial" w:hAnsi="Arial" w:cs="Arial"/>
              </w:rPr>
              <w:t>13 reported for September, 9</w:t>
            </w:r>
            <w:r w:rsidR="00954362" w:rsidRPr="008E68BA">
              <w:rPr>
                <w:rFonts w:ascii="Arial" w:hAnsi="Arial" w:cs="Arial"/>
              </w:rPr>
              <w:t xml:space="preserve"> for October</w:t>
            </w:r>
            <w:r w:rsidR="00BE457F" w:rsidRPr="008E68BA">
              <w:rPr>
                <w:rFonts w:ascii="Arial" w:hAnsi="Arial" w:cs="Arial"/>
              </w:rPr>
              <w:t xml:space="preserve"> 2021</w:t>
            </w:r>
          </w:p>
          <w:p w14:paraId="0B51B900" w14:textId="3C0B5B53" w:rsidR="00991F47" w:rsidRPr="008E68BA" w:rsidRDefault="00991F47" w:rsidP="008E68BA">
            <w:pPr>
              <w:tabs>
                <w:tab w:val="left" w:pos="1560"/>
              </w:tabs>
              <w:ind w:firstLine="220"/>
              <w:rPr>
                <w:rFonts w:ascii="Arial" w:hAnsi="Arial" w:cs="Arial"/>
              </w:rPr>
            </w:pPr>
            <w:r w:rsidRPr="008E68BA">
              <w:rPr>
                <w:rFonts w:ascii="Arial" w:hAnsi="Arial" w:cs="Arial"/>
              </w:rPr>
              <w:t xml:space="preserve">HIIAT </w:t>
            </w:r>
            <w:r w:rsidRPr="008E68BA">
              <w:rPr>
                <w:rFonts w:ascii="Arial" w:hAnsi="Arial" w:cs="Arial"/>
                <w:color w:val="FF0000"/>
              </w:rPr>
              <w:t>RED</w:t>
            </w:r>
            <w:r w:rsidRPr="008E68BA">
              <w:rPr>
                <w:rFonts w:ascii="Arial" w:hAnsi="Arial" w:cs="Arial"/>
              </w:rPr>
              <w:t xml:space="preserve"> - </w:t>
            </w:r>
            <w:r w:rsidRPr="008E68BA">
              <w:rPr>
                <w:rFonts w:ascii="Arial" w:hAnsi="Arial" w:cs="Arial"/>
              </w:rPr>
              <w:tab/>
              <w:t xml:space="preserve">    </w:t>
            </w:r>
            <w:r w:rsidR="00BE457F" w:rsidRPr="008E68BA">
              <w:rPr>
                <w:rFonts w:ascii="Arial" w:hAnsi="Arial" w:cs="Arial"/>
              </w:rPr>
              <w:t>13 reported for September, 11</w:t>
            </w:r>
            <w:r w:rsidR="00954362" w:rsidRPr="008E68BA">
              <w:rPr>
                <w:rFonts w:ascii="Arial" w:hAnsi="Arial" w:cs="Arial"/>
              </w:rPr>
              <w:t xml:space="preserve"> for October</w:t>
            </w:r>
            <w:r w:rsidR="00BE457F" w:rsidRPr="008E68BA">
              <w:rPr>
                <w:rFonts w:ascii="Arial" w:hAnsi="Arial" w:cs="Arial"/>
              </w:rPr>
              <w:t xml:space="preserve"> 2021</w:t>
            </w:r>
          </w:p>
          <w:p w14:paraId="5932D8F7" w14:textId="77777777" w:rsidR="00991F47" w:rsidRPr="008E68BA" w:rsidRDefault="00991F47" w:rsidP="008E68BA">
            <w:pPr>
              <w:tabs>
                <w:tab w:val="left" w:pos="1560"/>
              </w:tabs>
              <w:ind w:firstLine="220"/>
              <w:rPr>
                <w:rFonts w:ascii="Arial" w:hAnsi="Arial" w:cs="Arial"/>
              </w:rPr>
            </w:pPr>
          </w:p>
          <w:p w14:paraId="0EBA5CC4" w14:textId="18B85CED" w:rsidR="00991F47" w:rsidRPr="008E68BA" w:rsidRDefault="00991F47" w:rsidP="008E68BA">
            <w:pPr>
              <w:tabs>
                <w:tab w:val="left" w:pos="1560"/>
              </w:tabs>
              <w:spacing w:after="120"/>
              <w:rPr>
                <w:rFonts w:ascii="Arial" w:hAnsi="Arial" w:cs="Arial"/>
              </w:rPr>
            </w:pPr>
            <w:r w:rsidRPr="008E68BA">
              <w:rPr>
                <w:rFonts w:ascii="Arial" w:hAnsi="Arial" w:cs="Arial"/>
              </w:rPr>
              <w:t>(COVID-19 incidents are now included in the above totals)</w:t>
            </w:r>
          </w:p>
        </w:tc>
      </w:tr>
    </w:tbl>
    <w:p w14:paraId="03A43C04" w14:textId="77777777" w:rsidR="006170C4" w:rsidRPr="008E68BA" w:rsidRDefault="006170C4" w:rsidP="008E68BA">
      <w:pPr>
        <w:rPr>
          <w:rFonts w:ascii="Arial" w:hAnsi="Arial" w:cs="Arial"/>
          <w:b/>
          <w:iCs/>
        </w:rPr>
      </w:pPr>
    </w:p>
    <w:p w14:paraId="4E9F0AEB" w14:textId="77777777" w:rsidR="00B27807" w:rsidRPr="008E68BA" w:rsidRDefault="00B27807" w:rsidP="008E68BA">
      <w:pPr>
        <w:rPr>
          <w:rFonts w:ascii="Arial" w:hAnsi="Arial" w:cs="Arial"/>
          <w:b/>
          <w:iCs/>
        </w:rPr>
      </w:pPr>
    </w:p>
    <w:p w14:paraId="000F625F" w14:textId="77777777" w:rsidR="007B5DCE" w:rsidRPr="008E68BA" w:rsidRDefault="007B5DCE" w:rsidP="008E68BA">
      <w:pPr>
        <w:ind w:right="141"/>
        <w:rPr>
          <w:rFonts w:ascii="Arial" w:hAnsi="Arial" w:cs="Arial"/>
          <w:b/>
          <w:bCs/>
        </w:rPr>
      </w:pPr>
      <w:r w:rsidRPr="008E68BA">
        <w:rPr>
          <w:rFonts w:ascii="Arial" w:hAnsi="Arial" w:cs="Arial"/>
          <w:b/>
          <w:bCs/>
        </w:rPr>
        <w:t xml:space="preserve">Healthcare Environment Inspectorate (HEI) </w:t>
      </w:r>
    </w:p>
    <w:p w14:paraId="693D95D3" w14:textId="77777777" w:rsidR="007B5DCE" w:rsidRPr="008E68BA" w:rsidRDefault="007B5DCE" w:rsidP="008E68BA">
      <w:pPr>
        <w:tabs>
          <w:tab w:val="left" w:pos="9720"/>
        </w:tabs>
        <w:ind w:right="141"/>
        <w:rPr>
          <w:rFonts w:ascii="Arial" w:hAnsi="Arial" w:cs="Arial"/>
        </w:rPr>
      </w:pPr>
      <w:r w:rsidRPr="008E68BA">
        <w:rPr>
          <w:rFonts w:ascii="Arial" w:hAnsi="Arial" w:cs="Arial"/>
        </w:rPr>
        <w:t>There have been no unannou</w:t>
      </w:r>
      <w:r w:rsidR="00172587" w:rsidRPr="008E68BA">
        <w:rPr>
          <w:rFonts w:ascii="Arial" w:hAnsi="Arial" w:cs="Arial"/>
        </w:rPr>
        <w:t>nced or announced visits.</w:t>
      </w:r>
    </w:p>
    <w:p w14:paraId="7AA9AC26" w14:textId="77777777" w:rsidR="007B5DCE" w:rsidRPr="008E68BA" w:rsidRDefault="007B5DCE" w:rsidP="008E68BA">
      <w:pPr>
        <w:tabs>
          <w:tab w:val="left" w:pos="9720"/>
        </w:tabs>
        <w:ind w:right="141"/>
        <w:rPr>
          <w:rFonts w:ascii="Arial" w:hAnsi="Arial" w:cs="Arial"/>
        </w:rPr>
      </w:pPr>
    </w:p>
    <w:p w14:paraId="5A3E15E1" w14:textId="77777777" w:rsidR="007B5DCE" w:rsidRPr="008E68BA" w:rsidRDefault="007B5DCE" w:rsidP="008E68BA">
      <w:pPr>
        <w:tabs>
          <w:tab w:val="left" w:pos="9720"/>
        </w:tabs>
        <w:ind w:right="141"/>
        <w:rPr>
          <w:rStyle w:val="Hyperlink"/>
          <w:rFonts w:ascii="Arial" w:hAnsi="Arial" w:cs="Arial"/>
        </w:rPr>
      </w:pPr>
      <w:r w:rsidRPr="008E68BA">
        <w:rPr>
          <w:rFonts w:ascii="Arial" w:hAnsi="Arial" w:cs="Arial"/>
        </w:rPr>
        <w:t>All HEI reports and action plans can be viewed by clicking on the link</w:t>
      </w:r>
      <w:r w:rsidR="00B27807" w:rsidRPr="008E68BA">
        <w:rPr>
          <w:rFonts w:ascii="Arial" w:hAnsi="Arial" w:cs="Arial"/>
        </w:rPr>
        <w:t>:</w:t>
      </w:r>
    </w:p>
    <w:p w14:paraId="1ADA3E1E" w14:textId="77777777" w:rsidR="007B5DCE" w:rsidRPr="008E68BA" w:rsidRDefault="008E68BA" w:rsidP="008E68BA">
      <w:pPr>
        <w:tabs>
          <w:tab w:val="left" w:pos="8647"/>
        </w:tabs>
        <w:ind w:right="283"/>
        <w:rPr>
          <w:rFonts w:ascii="Arial" w:hAnsi="Arial" w:cs="Arial"/>
          <w:b/>
          <w:lang w:eastAsia="en-US"/>
        </w:rPr>
      </w:pPr>
      <w:hyperlink r:id="rId20" w:history="1">
        <w:r w:rsidR="008E29DE" w:rsidRPr="008E68BA">
          <w:rPr>
            <w:rStyle w:val="Hyperlink"/>
            <w:rFonts w:ascii="Arial" w:hAnsi="Arial" w:cs="Arial"/>
            <w:b/>
            <w:lang w:eastAsia="en-US"/>
          </w:rPr>
          <w:t>http://www.healthcareimprovementscotland.org/our_work/inspecting_and_regulating_care/nhs_hospitals_and_services/find_nhs_hospitals.aspx</w:t>
        </w:r>
      </w:hyperlink>
    </w:p>
    <w:p w14:paraId="418DD586" w14:textId="77777777" w:rsidR="00B27807" w:rsidRPr="008E68BA" w:rsidRDefault="00B27807" w:rsidP="008E68BA">
      <w:pPr>
        <w:ind w:right="141"/>
        <w:rPr>
          <w:rFonts w:ascii="Arial" w:hAnsi="Arial" w:cs="Arial"/>
          <w:b/>
          <w:lang w:eastAsia="en-US"/>
        </w:rPr>
      </w:pPr>
    </w:p>
    <w:p w14:paraId="79453A3C" w14:textId="77777777" w:rsidR="007B5DCE" w:rsidRPr="008E68BA" w:rsidRDefault="007B5DCE" w:rsidP="008E68BA">
      <w:pPr>
        <w:ind w:right="142"/>
        <w:rPr>
          <w:rFonts w:ascii="Arial" w:hAnsi="Arial" w:cs="Arial"/>
          <w:b/>
          <w:lang w:eastAsia="en-US"/>
        </w:rPr>
      </w:pPr>
      <w:r w:rsidRPr="008E68BA">
        <w:rPr>
          <w:rFonts w:ascii="Arial" w:hAnsi="Arial" w:cs="Arial"/>
          <w:b/>
          <w:lang w:eastAsia="en-US"/>
        </w:rPr>
        <w:t xml:space="preserve">Multi-drug resistant organism screening </w:t>
      </w:r>
    </w:p>
    <w:p w14:paraId="6FD817B7" w14:textId="77777777" w:rsidR="007B5DCE" w:rsidRPr="008E68BA" w:rsidRDefault="007B5DCE" w:rsidP="008E68BA">
      <w:pPr>
        <w:ind w:right="141"/>
        <w:rPr>
          <w:rFonts w:ascii="Arial" w:hAnsi="Arial" w:cs="Arial"/>
        </w:rPr>
      </w:pPr>
      <w:r w:rsidRPr="008E68BA">
        <w:rPr>
          <w:rFonts w:ascii="Arial" w:hAnsi="Arial" w:cs="Arial"/>
        </w:rPr>
        <w:t xml:space="preserve">As part of the national mandatory requirements, each board is expected to screen specific patients for resistant organisms.  These are </w:t>
      </w:r>
      <w:proofErr w:type="spellStart"/>
      <w:r w:rsidRPr="008E68BA">
        <w:rPr>
          <w:rFonts w:ascii="Arial" w:hAnsi="Arial" w:cs="Arial"/>
        </w:rPr>
        <w:t>Carbapenemase</w:t>
      </w:r>
      <w:proofErr w:type="spellEnd"/>
      <w:r w:rsidRPr="008E68BA">
        <w:rPr>
          <w:rFonts w:ascii="Arial" w:hAnsi="Arial" w:cs="Arial"/>
        </w:rPr>
        <w:t xml:space="preserve"> producing </w:t>
      </w:r>
      <w:proofErr w:type="spellStart"/>
      <w:r w:rsidRPr="008E68BA">
        <w:rPr>
          <w:rFonts w:ascii="Arial" w:hAnsi="Arial" w:cs="Arial"/>
        </w:rPr>
        <w:t>Enterobacteriaceae</w:t>
      </w:r>
      <w:proofErr w:type="spellEnd"/>
      <w:r w:rsidRPr="008E68BA">
        <w:rPr>
          <w:rFonts w:ascii="Arial" w:hAnsi="Arial" w:cs="Arial"/>
        </w:rPr>
        <w:t xml:space="preserve"> (CPE) and MRSA.</w:t>
      </w:r>
      <w:r w:rsidR="00B27807" w:rsidRPr="008E68BA">
        <w:rPr>
          <w:rFonts w:ascii="Arial" w:hAnsi="Arial" w:cs="Arial"/>
        </w:rPr>
        <w:t xml:space="preserve">  </w:t>
      </w:r>
      <w:r w:rsidRPr="008E68BA">
        <w:rPr>
          <w:rFonts w:ascii="Arial" w:hAnsi="Arial" w:cs="Arial"/>
        </w:rPr>
        <w:t xml:space="preserve">Assessment to screen depends on a clinical risk assessment performed on all admissions to indicate whether the patient requires to be screened.  On a quarterly basis we assess compliance of completing this risk assessment to provide assurance of effective screening and report this nationally.  The national expectation of compliance is </w:t>
      </w:r>
      <w:r w:rsidRPr="008E68BA">
        <w:rPr>
          <w:rFonts w:ascii="Arial" w:hAnsi="Arial" w:cs="Arial"/>
          <w:b/>
        </w:rPr>
        <w:t>90%.</w:t>
      </w:r>
      <w:r w:rsidRPr="008E68BA">
        <w:rPr>
          <w:rFonts w:ascii="Arial" w:hAnsi="Arial" w:cs="Arial"/>
        </w:rPr>
        <w:t xml:space="preserve">  </w:t>
      </w:r>
    </w:p>
    <w:p w14:paraId="5012B480" w14:textId="77777777" w:rsidR="007B5DCE" w:rsidRPr="008E68BA" w:rsidRDefault="007B5DCE" w:rsidP="008E68BA">
      <w:pPr>
        <w:ind w:right="141"/>
        <w:rPr>
          <w:rFonts w:ascii="Arial" w:hAnsi="Arial" w:cs="Arial"/>
        </w:rPr>
      </w:pPr>
    </w:p>
    <w:p w14:paraId="368A92DB" w14:textId="77777777" w:rsidR="007B5DCE" w:rsidRPr="008E68BA" w:rsidRDefault="007B5DCE" w:rsidP="008E68BA">
      <w:pPr>
        <w:rPr>
          <w:rFonts w:ascii="Arial" w:hAnsi="Arial" w:cs="Arial"/>
        </w:rPr>
      </w:pPr>
    </w:p>
    <w:p w14:paraId="7D309CE5" w14:textId="77777777" w:rsidR="00B27807" w:rsidRPr="008E68BA" w:rsidRDefault="00B27807" w:rsidP="008E68BA">
      <w:pPr>
        <w:rPr>
          <w:rFonts w:ascii="Arial" w:hAnsi="Arial" w:cs="Arial"/>
        </w:rPr>
      </w:pPr>
    </w:p>
    <w:tbl>
      <w:tblPr>
        <w:tblW w:w="93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567"/>
        <w:gridCol w:w="4961"/>
        <w:gridCol w:w="1558"/>
      </w:tblGrid>
      <w:tr w:rsidR="005A5957" w:rsidRPr="008E68BA" w14:paraId="532E0CC4" w14:textId="77777777" w:rsidTr="000D09D9">
        <w:trPr>
          <w:trHeight w:val="267"/>
        </w:trPr>
        <w:tc>
          <w:tcPr>
            <w:tcW w:w="2269" w:type="dxa"/>
            <w:vMerge w:val="restart"/>
            <w:shd w:val="clear" w:color="auto" w:fill="auto"/>
          </w:tcPr>
          <w:p w14:paraId="37141AF3" w14:textId="77777777" w:rsidR="005A5957" w:rsidRPr="008E68BA" w:rsidRDefault="005A5957" w:rsidP="008E68BA">
            <w:pPr>
              <w:rPr>
                <w:rFonts w:ascii="Arial" w:hAnsi="Arial" w:cs="Arial"/>
                <w:color w:val="000000" w:themeColor="text1"/>
              </w:rPr>
            </w:pPr>
            <w:r w:rsidRPr="008E68BA">
              <w:rPr>
                <w:rFonts w:ascii="Arial" w:hAnsi="Arial" w:cs="Arial"/>
                <w:color w:val="000000" w:themeColor="text1"/>
              </w:rPr>
              <w:t>Last validated quarter Apr-Jun 2021</w:t>
            </w:r>
          </w:p>
        </w:tc>
        <w:tc>
          <w:tcPr>
            <w:tcW w:w="567" w:type="dxa"/>
            <w:shd w:val="clear" w:color="auto" w:fill="92D050"/>
          </w:tcPr>
          <w:p w14:paraId="195AA556" w14:textId="77777777" w:rsidR="005A5957" w:rsidRPr="008E68BA" w:rsidRDefault="005A5957" w:rsidP="008E68BA">
            <w:pPr>
              <w:rPr>
                <w:rFonts w:ascii="Arial" w:hAnsi="Arial" w:cs="Arial"/>
                <w:color w:val="000000" w:themeColor="text1"/>
              </w:rPr>
            </w:pPr>
          </w:p>
        </w:tc>
        <w:tc>
          <w:tcPr>
            <w:tcW w:w="4961" w:type="dxa"/>
            <w:shd w:val="clear" w:color="auto" w:fill="auto"/>
          </w:tcPr>
          <w:p w14:paraId="45858B8A" w14:textId="77777777" w:rsidR="005A5957" w:rsidRPr="008E68BA" w:rsidRDefault="005A5957" w:rsidP="008E68BA">
            <w:pPr>
              <w:rPr>
                <w:rFonts w:ascii="Arial" w:hAnsi="Arial" w:cs="Arial"/>
                <w:color w:val="000000" w:themeColor="text1"/>
              </w:rPr>
            </w:pPr>
            <w:r w:rsidRPr="008E68BA">
              <w:rPr>
                <w:rFonts w:ascii="Arial" w:hAnsi="Arial" w:cs="Arial"/>
                <w:color w:val="000000" w:themeColor="text1"/>
              </w:rPr>
              <w:t xml:space="preserve">NHSGGC </w:t>
            </w:r>
            <w:r w:rsidRPr="008E68BA">
              <w:rPr>
                <w:rFonts w:ascii="Arial" w:hAnsi="Arial" w:cs="Arial"/>
                <w:b/>
                <w:color w:val="000000" w:themeColor="text1"/>
              </w:rPr>
              <w:t>91%</w:t>
            </w:r>
            <w:r w:rsidRPr="008E68BA">
              <w:rPr>
                <w:rFonts w:ascii="Arial" w:hAnsi="Arial" w:cs="Arial"/>
                <w:color w:val="000000" w:themeColor="text1"/>
              </w:rPr>
              <w:t xml:space="preserve"> compliance rate for CPE screening </w:t>
            </w:r>
          </w:p>
        </w:tc>
        <w:tc>
          <w:tcPr>
            <w:tcW w:w="1558" w:type="dxa"/>
            <w:shd w:val="clear" w:color="auto" w:fill="auto"/>
          </w:tcPr>
          <w:p w14:paraId="2F4708EC" w14:textId="77777777" w:rsidR="005A5957" w:rsidRPr="008E68BA" w:rsidRDefault="005A5957" w:rsidP="008E68BA">
            <w:pPr>
              <w:ind w:right="-108"/>
              <w:rPr>
                <w:rFonts w:ascii="Arial" w:hAnsi="Arial" w:cs="Arial"/>
                <w:color w:val="000000" w:themeColor="text1"/>
              </w:rPr>
            </w:pPr>
            <w:r w:rsidRPr="008E68BA">
              <w:rPr>
                <w:rFonts w:ascii="Arial" w:hAnsi="Arial" w:cs="Arial"/>
                <w:color w:val="000000" w:themeColor="text1"/>
              </w:rPr>
              <w:t>Scotland 83%</w:t>
            </w:r>
          </w:p>
        </w:tc>
      </w:tr>
      <w:tr w:rsidR="005A5957" w:rsidRPr="008E68BA" w14:paraId="0AE59615" w14:textId="77777777" w:rsidTr="000D09D9">
        <w:trPr>
          <w:trHeight w:val="267"/>
        </w:trPr>
        <w:tc>
          <w:tcPr>
            <w:tcW w:w="2269" w:type="dxa"/>
            <w:vMerge/>
            <w:shd w:val="clear" w:color="auto" w:fill="auto"/>
          </w:tcPr>
          <w:p w14:paraId="28AC9C89" w14:textId="77777777" w:rsidR="005A5957" w:rsidRPr="008E68BA" w:rsidRDefault="005A5957" w:rsidP="008E68BA">
            <w:pPr>
              <w:rPr>
                <w:rFonts w:ascii="Arial" w:hAnsi="Arial" w:cs="Arial"/>
                <w:color w:val="000000" w:themeColor="text1"/>
              </w:rPr>
            </w:pPr>
          </w:p>
        </w:tc>
        <w:tc>
          <w:tcPr>
            <w:tcW w:w="567" w:type="dxa"/>
            <w:shd w:val="clear" w:color="auto" w:fill="92D050"/>
          </w:tcPr>
          <w:p w14:paraId="00FE0BBD" w14:textId="77777777" w:rsidR="005A5957" w:rsidRPr="008E68BA" w:rsidRDefault="005A5957" w:rsidP="008E68BA">
            <w:pPr>
              <w:rPr>
                <w:rFonts w:ascii="Arial" w:hAnsi="Arial" w:cs="Arial"/>
                <w:color w:val="000000" w:themeColor="text1"/>
              </w:rPr>
            </w:pPr>
          </w:p>
        </w:tc>
        <w:tc>
          <w:tcPr>
            <w:tcW w:w="4961" w:type="dxa"/>
            <w:shd w:val="clear" w:color="auto" w:fill="auto"/>
          </w:tcPr>
          <w:p w14:paraId="2D150E94" w14:textId="77777777" w:rsidR="005A5957" w:rsidRPr="008E68BA" w:rsidRDefault="005A5957" w:rsidP="008E68BA">
            <w:pPr>
              <w:rPr>
                <w:rFonts w:ascii="Arial" w:hAnsi="Arial" w:cs="Arial"/>
                <w:color w:val="000000" w:themeColor="text1"/>
              </w:rPr>
            </w:pPr>
            <w:r w:rsidRPr="008E68BA">
              <w:rPr>
                <w:rFonts w:ascii="Arial" w:hAnsi="Arial" w:cs="Arial"/>
                <w:color w:val="000000" w:themeColor="text1"/>
              </w:rPr>
              <w:t xml:space="preserve">NHSGGC </w:t>
            </w:r>
            <w:r w:rsidRPr="008E68BA">
              <w:rPr>
                <w:rFonts w:ascii="Arial" w:hAnsi="Arial" w:cs="Arial"/>
                <w:b/>
                <w:color w:val="000000" w:themeColor="text1"/>
              </w:rPr>
              <w:t>90%</w:t>
            </w:r>
            <w:r w:rsidRPr="008E68BA">
              <w:rPr>
                <w:rFonts w:ascii="Arial" w:hAnsi="Arial" w:cs="Arial"/>
                <w:color w:val="000000" w:themeColor="text1"/>
              </w:rPr>
              <w:t xml:space="preserve"> compliance rate for MRSA screening  </w:t>
            </w:r>
          </w:p>
        </w:tc>
        <w:tc>
          <w:tcPr>
            <w:tcW w:w="1558" w:type="dxa"/>
            <w:shd w:val="clear" w:color="auto" w:fill="auto"/>
          </w:tcPr>
          <w:p w14:paraId="1BDD1118" w14:textId="77777777" w:rsidR="005A5957" w:rsidRPr="008E68BA" w:rsidRDefault="005A5957" w:rsidP="008E68BA">
            <w:pPr>
              <w:ind w:right="-108"/>
              <w:rPr>
                <w:rFonts w:ascii="Arial" w:hAnsi="Arial" w:cs="Arial"/>
                <w:color w:val="000000" w:themeColor="text1"/>
              </w:rPr>
            </w:pPr>
            <w:r w:rsidRPr="008E68BA">
              <w:rPr>
                <w:rFonts w:ascii="Arial" w:hAnsi="Arial" w:cs="Arial"/>
                <w:color w:val="000000" w:themeColor="text1"/>
              </w:rPr>
              <w:t>Scotland 84%</w:t>
            </w:r>
          </w:p>
        </w:tc>
      </w:tr>
      <w:tr w:rsidR="005A5957" w:rsidRPr="008E68BA" w14:paraId="1E4AA4BB" w14:textId="77777777" w:rsidTr="000D09D9">
        <w:trPr>
          <w:trHeight w:val="267"/>
        </w:trPr>
        <w:tc>
          <w:tcPr>
            <w:tcW w:w="2269" w:type="dxa"/>
            <w:vMerge w:val="restart"/>
            <w:shd w:val="clear" w:color="auto" w:fill="auto"/>
          </w:tcPr>
          <w:p w14:paraId="24BB62FC" w14:textId="77777777" w:rsidR="005A5957" w:rsidRPr="008E68BA" w:rsidRDefault="005A5957" w:rsidP="008E68BA">
            <w:pPr>
              <w:rPr>
                <w:rFonts w:ascii="Arial" w:hAnsi="Arial" w:cs="Arial"/>
                <w:color w:val="000000" w:themeColor="text1"/>
              </w:rPr>
            </w:pPr>
            <w:r w:rsidRPr="008E68BA">
              <w:rPr>
                <w:rFonts w:ascii="Arial" w:hAnsi="Arial" w:cs="Arial"/>
                <w:color w:val="000000" w:themeColor="text1"/>
              </w:rPr>
              <w:t>Local quarter data</w:t>
            </w:r>
          </w:p>
          <w:p w14:paraId="43D113FB" w14:textId="77777777" w:rsidR="005A5957" w:rsidRPr="008E68BA" w:rsidRDefault="005A5957" w:rsidP="008E68BA">
            <w:pPr>
              <w:rPr>
                <w:rFonts w:ascii="Arial" w:hAnsi="Arial" w:cs="Arial"/>
                <w:color w:val="000000" w:themeColor="text1"/>
              </w:rPr>
            </w:pPr>
            <w:r w:rsidRPr="008E68BA">
              <w:rPr>
                <w:rFonts w:ascii="Arial" w:hAnsi="Arial" w:cs="Arial"/>
                <w:color w:val="000000" w:themeColor="text1"/>
              </w:rPr>
              <w:t>Jul-Sep 2021</w:t>
            </w:r>
          </w:p>
        </w:tc>
        <w:tc>
          <w:tcPr>
            <w:tcW w:w="567" w:type="dxa"/>
            <w:shd w:val="clear" w:color="auto" w:fill="92D050"/>
          </w:tcPr>
          <w:p w14:paraId="46F86FBE" w14:textId="77777777" w:rsidR="005A5957" w:rsidRPr="008E68BA" w:rsidRDefault="005A5957" w:rsidP="008E68BA">
            <w:pPr>
              <w:rPr>
                <w:rFonts w:ascii="Arial" w:hAnsi="Arial" w:cs="Arial"/>
                <w:color w:val="000000" w:themeColor="text1"/>
              </w:rPr>
            </w:pPr>
          </w:p>
        </w:tc>
        <w:tc>
          <w:tcPr>
            <w:tcW w:w="4961" w:type="dxa"/>
            <w:shd w:val="clear" w:color="auto" w:fill="auto"/>
          </w:tcPr>
          <w:p w14:paraId="43E3AF3B" w14:textId="1FA6BAAA" w:rsidR="005A5957" w:rsidRPr="008E68BA" w:rsidRDefault="005A5957" w:rsidP="008E68BA">
            <w:pPr>
              <w:rPr>
                <w:rFonts w:ascii="Arial" w:hAnsi="Arial" w:cs="Arial"/>
                <w:color w:val="000000" w:themeColor="text1"/>
              </w:rPr>
            </w:pPr>
            <w:r w:rsidRPr="008E68BA">
              <w:rPr>
                <w:rFonts w:ascii="Arial" w:hAnsi="Arial" w:cs="Arial"/>
                <w:color w:val="000000" w:themeColor="text1"/>
              </w:rPr>
              <w:t xml:space="preserve">NHSGGC </w:t>
            </w:r>
            <w:r w:rsidR="004E2F11" w:rsidRPr="008E68BA">
              <w:rPr>
                <w:rFonts w:ascii="Arial" w:hAnsi="Arial" w:cs="Arial"/>
                <w:b/>
                <w:color w:val="000000" w:themeColor="text1"/>
              </w:rPr>
              <w:t>93</w:t>
            </w:r>
            <w:r w:rsidRPr="008E68BA">
              <w:rPr>
                <w:rFonts w:ascii="Arial" w:hAnsi="Arial" w:cs="Arial"/>
                <w:b/>
                <w:color w:val="000000" w:themeColor="text1"/>
              </w:rPr>
              <w:t>%</w:t>
            </w:r>
            <w:r w:rsidRPr="008E68BA">
              <w:rPr>
                <w:rFonts w:ascii="Arial" w:hAnsi="Arial" w:cs="Arial"/>
                <w:color w:val="000000" w:themeColor="text1"/>
              </w:rPr>
              <w:t xml:space="preserve"> compliance rate for CPE screening </w:t>
            </w:r>
          </w:p>
        </w:tc>
        <w:tc>
          <w:tcPr>
            <w:tcW w:w="1558" w:type="dxa"/>
            <w:shd w:val="clear" w:color="auto" w:fill="auto"/>
          </w:tcPr>
          <w:p w14:paraId="10C630CB" w14:textId="77777777" w:rsidR="005A5957" w:rsidRPr="008E68BA" w:rsidRDefault="005A5957" w:rsidP="008E68BA">
            <w:pPr>
              <w:ind w:right="-108"/>
              <w:rPr>
                <w:rFonts w:ascii="Arial" w:hAnsi="Arial" w:cs="Arial"/>
                <w:color w:val="000000" w:themeColor="text1"/>
              </w:rPr>
            </w:pPr>
            <w:r w:rsidRPr="008E68BA">
              <w:rPr>
                <w:rFonts w:ascii="Arial" w:hAnsi="Arial" w:cs="Arial"/>
                <w:color w:val="000000" w:themeColor="text1"/>
              </w:rPr>
              <w:t>Scotland tbc</w:t>
            </w:r>
          </w:p>
        </w:tc>
      </w:tr>
      <w:tr w:rsidR="005A5957" w:rsidRPr="008E68BA" w14:paraId="25F36AED" w14:textId="77777777" w:rsidTr="000D09D9">
        <w:trPr>
          <w:trHeight w:val="267"/>
        </w:trPr>
        <w:tc>
          <w:tcPr>
            <w:tcW w:w="2269" w:type="dxa"/>
            <w:vMerge/>
            <w:shd w:val="clear" w:color="auto" w:fill="auto"/>
          </w:tcPr>
          <w:p w14:paraId="309E4A43" w14:textId="77777777" w:rsidR="005A5957" w:rsidRPr="008E68BA" w:rsidRDefault="005A5957" w:rsidP="008E68BA">
            <w:pPr>
              <w:rPr>
                <w:rFonts w:ascii="Arial" w:hAnsi="Arial" w:cs="Arial"/>
                <w:color w:val="000000" w:themeColor="text1"/>
              </w:rPr>
            </w:pPr>
          </w:p>
        </w:tc>
        <w:tc>
          <w:tcPr>
            <w:tcW w:w="567" w:type="dxa"/>
            <w:shd w:val="clear" w:color="auto" w:fill="92D050"/>
          </w:tcPr>
          <w:p w14:paraId="4393CC40" w14:textId="77777777" w:rsidR="005A5957" w:rsidRPr="008E68BA" w:rsidRDefault="005A5957" w:rsidP="008E68BA">
            <w:pPr>
              <w:rPr>
                <w:rFonts w:ascii="Arial" w:hAnsi="Arial" w:cs="Arial"/>
                <w:color w:val="000000" w:themeColor="text1"/>
              </w:rPr>
            </w:pPr>
          </w:p>
        </w:tc>
        <w:tc>
          <w:tcPr>
            <w:tcW w:w="4961" w:type="dxa"/>
            <w:shd w:val="clear" w:color="auto" w:fill="auto"/>
          </w:tcPr>
          <w:p w14:paraId="180F79E9" w14:textId="530FC934" w:rsidR="005A5957" w:rsidRPr="008E68BA" w:rsidRDefault="005A5957" w:rsidP="008E68BA">
            <w:pPr>
              <w:rPr>
                <w:rFonts w:ascii="Arial" w:hAnsi="Arial" w:cs="Arial"/>
                <w:color w:val="000000" w:themeColor="text1"/>
              </w:rPr>
            </w:pPr>
            <w:r w:rsidRPr="008E68BA">
              <w:rPr>
                <w:rFonts w:ascii="Arial" w:hAnsi="Arial" w:cs="Arial"/>
                <w:color w:val="000000" w:themeColor="text1"/>
              </w:rPr>
              <w:t xml:space="preserve">NHSGGC </w:t>
            </w:r>
            <w:r w:rsidR="004E2F11" w:rsidRPr="008E68BA">
              <w:rPr>
                <w:rFonts w:ascii="Arial" w:hAnsi="Arial" w:cs="Arial"/>
                <w:b/>
                <w:color w:val="000000" w:themeColor="text1"/>
              </w:rPr>
              <w:t>90</w:t>
            </w:r>
            <w:r w:rsidRPr="008E68BA">
              <w:rPr>
                <w:rFonts w:ascii="Arial" w:hAnsi="Arial" w:cs="Arial"/>
                <w:b/>
                <w:color w:val="000000" w:themeColor="text1"/>
              </w:rPr>
              <w:t>%</w:t>
            </w:r>
            <w:r w:rsidRPr="008E68BA">
              <w:rPr>
                <w:rFonts w:ascii="Arial" w:hAnsi="Arial" w:cs="Arial"/>
                <w:color w:val="000000" w:themeColor="text1"/>
              </w:rPr>
              <w:t xml:space="preserve"> compliance rate for MRSA screening  </w:t>
            </w:r>
          </w:p>
        </w:tc>
        <w:tc>
          <w:tcPr>
            <w:tcW w:w="1558" w:type="dxa"/>
            <w:shd w:val="clear" w:color="auto" w:fill="auto"/>
          </w:tcPr>
          <w:p w14:paraId="24C49E23" w14:textId="77777777" w:rsidR="005A5957" w:rsidRPr="008E68BA" w:rsidRDefault="005A5957" w:rsidP="008E68BA">
            <w:pPr>
              <w:ind w:right="-108"/>
              <w:rPr>
                <w:rFonts w:ascii="Arial" w:hAnsi="Arial" w:cs="Arial"/>
                <w:color w:val="000000" w:themeColor="text1"/>
              </w:rPr>
            </w:pPr>
            <w:r w:rsidRPr="008E68BA">
              <w:rPr>
                <w:rFonts w:ascii="Arial" w:hAnsi="Arial" w:cs="Arial"/>
                <w:color w:val="000000" w:themeColor="text1"/>
              </w:rPr>
              <w:t>Scotland tbc</w:t>
            </w:r>
          </w:p>
        </w:tc>
      </w:tr>
    </w:tbl>
    <w:p w14:paraId="4CFFE604" w14:textId="77777777" w:rsidR="008E29DE" w:rsidRPr="008E68BA" w:rsidRDefault="008E29DE" w:rsidP="008E68BA">
      <w:pPr>
        <w:rPr>
          <w:rFonts w:ascii="Arial" w:hAnsi="Arial" w:cs="Arial"/>
        </w:rPr>
      </w:pPr>
    </w:p>
    <w:p w14:paraId="102805CB" w14:textId="77777777" w:rsidR="008E29DE" w:rsidRPr="008E68BA" w:rsidRDefault="008E29DE" w:rsidP="008E68BA">
      <w:pPr>
        <w:rPr>
          <w:rFonts w:ascii="Arial" w:hAnsi="Arial" w:cs="Arial"/>
        </w:rPr>
      </w:pPr>
    </w:p>
    <w:p w14:paraId="6A72E428" w14:textId="77777777" w:rsidR="008E29DE" w:rsidRPr="008E68BA" w:rsidRDefault="008E29DE" w:rsidP="008E68BA">
      <w:pPr>
        <w:rPr>
          <w:rFonts w:ascii="Arial" w:hAnsi="Arial" w:cs="Arial"/>
        </w:rPr>
      </w:pPr>
    </w:p>
    <w:p w14:paraId="54A7C133" w14:textId="77777777" w:rsidR="008E29DE" w:rsidRPr="008E68BA" w:rsidRDefault="008E29DE" w:rsidP="008E68BA">
      <w:pPr>
        <w:rPr>
          <w:rFonts w:ascii="Arial" w:hAnsi="Arial" w:cs="Arial"/>
        </w:rPr>
      </w:pPr>
    </w:p>
    <w:sectPr w:rsidR="008E29DE" w:rsidRPr="008E68BA" w:rsidSect="00DF2819">
      <w:headerReference w:type="even" r:id="rId21"/>
      <w:headerReference w:type="default" r:id="rId22"/>
      <w:footerReference w:type="even" r:id="rId23"/>
      <w:footerReference w:type="default" r:id="rId24"/>
      <w:pgSz w:w="11906" w:h="16838"/>
      <w:pgMar w:top="993" w:right="991" w:bottom="568" w:left="1134" w:header="42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12F83" w14:textId="77777777" w:rsidR="004C601D" w:rsidRDefault="004C601D">
      <w:r>
        <w:separator/>
      </w:r>
    </w:p>
  </w:endnote>
  <w:endnote w:type="continuationSeparator" w:id="0">
    <w:p w14:paraId="582F06CF" w14:textId="77777777" w:rsidR="004C601D" w:rsidRDefault="004C601D">
      <w:r>
        <w:continuationSeparator/>
      </w:r>
    </w:p>
  </w:endnote>
  <w:endnote w:type="continuationNotice" w:id="1">
    <w:p w14:paraId="6CA87C56" w14:textId="77777777" w:rsidR="004C601D" w:rsidRDefault="004C6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3B95" w14:textId="77777777" w:rsidR="00331257" w:rsidRDefault="00331257">
    <w:pPr>
      <w:pStyle w:val="Footer"/>
    </w:pPr>
  </w:p>
  <w:p w14:paraId="664EC31B" w14:textId="77777777" w:rsidR="00331257" w:rsidRDefault="003312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6DF0" w14:textId="77777777" w:rsidR="00331257" w:rsidRPr="000F4119" w:rsidRDefault="00331257" w:rsidP="00443C82">
    <w:pPr>
      <w:pStyle w:val="Footer"/>
      <w:ind w:right="-142"/>
      <w:jc w:val="right"/>
      <w:rPr>
        <w:rFonts w:asciiTheme="minorHAnsi" w:hAnsiTheme="minorHAnsi" w:cstheme="minorHAnsi"/>
        <w:sz w:val="22"/>
        <w:szCs w:val="22"/>
      </w:rPr>
    </w:pPr>
    <w:r w:rsidRPr="000F4119">
      <w:rPr>
        <w:rFonts w:asciiTheme="minorHAnsi" w:hAnsiTheme="minorHAnsi" w:cstheme="minorHAnsi"/>
        <w:sz w:val="22"/>
        <w:szCs w:val="22"/>
      </w:rPr>
      <w:fldChar w:fldCharType="begin"/>
    </w:r>
    <w:r w:rsidRPr="000F4119">
      <w:rPr>
        <w:rFonts w:asciiTheme="minorHAnsi" w:hAnsiTheme="minorHAnsi" w:cstheme="minorHAnsi"/>
        <w:sz w:val="22"/>
        <w:szCs w:val="22"/>
      </w:rPr>
      <w:instrText xml:space="preserve"> PAGE   \* MERGEFORMAT </w:instrText>
    </w:r>
    <w:r w:rsidRPr="000F4119">
      <w:rPr>
        <w:rFonts w:asciiTheme="minorHAnsi" w:hAnsiTheme="minorHAnsi" w:cstheme="minorHAnsi"/>
        <w:sz w:val="22"/>
        <w:szCs w:val="22"/>
      </w:rPr>
      <w:fldChar w:fldCharType="separate"/>
    </w:r>
    <w:r w:rsidR="008E68BA">
      <w:rPr>
        <w:rFonts w:asciiTheme="minorHAnsi" w:hAnsiTheme="minorHAnsi" w:cstheme="minorHAnsi"/>
        <w:noProof/>
        <w:sz w:val="22"/>
        <w:szCs w:val="22"/>
      </w:rPr>
      <w:t>1</w:t>
    </w:r>
    <w:r w:rsidRPr="000F4119">
      <w:rPr>
        <w:rFonts w:asciiTheme="minorHAnsi" w:hAnsiTheme="minorHAnsi" w:cstheme="minorHAnsi"/>
        <w:sz w:val="22"/>
        <w:szCs w:val="22"/>
      </w:rPr>
      <w:fldChar w:fldCharType="end"/>
    </w:r>
  </w:p>
  <w:p w14:paraId="4F7B83CD" w14:textId="77777777" w:rsidR="00331257" w:rsidRDefault="00331257">
    <w:pPr>
      <w:pStyle w:val="Footer"/>
    </w:pPr>
  </w:p>
  <w:p w14:paraId="507C33BA" w14:textId="77777777" w:rsidR="00331257" w:rsidRDefault="003312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1C52" w14:textId="77777777" w:rsidR="004C601D" w:rsidRDefault="004C601D">
      <w:r>
        <w:separator/>
      </w:r>
    </w:p>
  </w:footnote>
  <w:footnote w:type="continuationSeparator" w:id="0">
    <w:p w14:paraId="57EBC432" w14:textId="77777777" w:rsidR="004C601D" w:rsidRDefault="004C601D">
      <w:r>
        <w:continuationSeparator/>
      </w:r>
    </w:p>
  </w:footnote>
  <w:footnote w:type="continuationNotice" w:id="1">
    <w:p w14:paraId="4EBE6115" w14:textId="77777777" w:rsidR="004C601D" w:rsidRDefault="004C60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089D" w14:textId="77777777" w:rsidR="00331257" w:rsidRDefault="00331257">
    <w:pPr>
      <w:pStyle w:val="Header"/>
    </w:pPr>
  </w:p>
  <w:p w14:paraId="5805584F" w14:textId="77777777" w:rsidR="00331257" w:rsidRDefault="003312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5A39" w14:textId="001C1109" w:rsidR="00331257" w:rsidRPr="00B555AB" w:rsidRDefault="00331257" w:rsidP="000F4119">
    <w:pPr>
      <w:pStyle w:val="Header"/>
      <w:spacing w:before="120"/>
      <w:jc w:val="center"/>
      <w:rPr>
        <w:rFonts w:ascii="Calibri" w:hAnsi="Calibri"/>
      </w:rPr>
    </w:pPr>
    <w:r>
      <w:rPr>
        <w:rFonts w:ascii="Calibri" w:hAnsi="Calibri"/>
      </w:rPr>
      <w:t xml:space="preserve">BOARD OFFICIAL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4B3"/>
    <w:multiLevelType w:val="hybridMultilevel"/>
    <w:tmpl w:val="2944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53D0A"/>
    <w:multiLevelType w:val="hybridMultilevel"/>
    <w:tmpl w:val="B3F8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D177D"/>
    <w:multiLevelType w:val="hybridMultilevel"/>
    <w:tmpl w:val="05F6248C"/>
    <w:lvl w:ilvl="0" w:tplc="79C4BEF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E17CA"/>
    <w:multiLevelType w:val="hybridMultilevel"/>
    <w:tmpl w:val="89C4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B0BBD"/>
    <w:multiLevelType w:val="hybridMultilevel"/>
    <w:tmpl w:val="14288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C61FA"/>
    <w:multiLevelType w:val="hybridMultilevel"/>
    <w:tmpl w:val="16D2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C63CA"/>
    <w:multiLevelType w:val="hybridMultilevel"/>
    <w:tmpl w:val="FC3C2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DF5CB6"/>
    <w:multiLevelType w:val="hybridMultilevel"/>
    <w:tmpl w:val="2C84509A"/>
    <w:lvl w:ilvl="0" w:tplc="A19C647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A1A37"/>
    <w:multiLevelType w:val="hybridMultilevel"/>
    <w:tmpl w:val="C9346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245A0F"/>
    <w:multiLevelType w:val="hybridMultilevel"/>
    <w:tmpl w:val="6602E68A"/>
    <w:lvl w:ilvl="0" w:tplc="F692DAA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81066"/>
    <w:multiLevelType w:val="hybridMultilevel"/>
    <w:tmpl w:val="BE1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C33A6"/>
    <w:multiLevelType w:val="hybridMultilevel"/>
    <w:tmpl w:val="294A5BCA"/>
    <w:lvl w:ilvl="0" w:tplc="F692DAA6">
      <w:start w:val="1"/>
      <w:numFmt w:val="bullet"/>
      <w:lvlText w:val=""/>
      <w:lvlJc w:val="left"/>
      <w:pPr>
        <w:ind w:left="2771" w:hanging="360"/>
      </w:pPr>
      <w:rPr>
        <w:rFonts w:ascii="Symbol" w:hAnsi="Symbol" w:hint="default"/>
        <w:sz w:val="20"/>
        <w:szCs w:val="20"/>
      </w:rPr>
    </w:lvl>
    <w:lvl w:ilvl="1" w:tplc="08090003">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2" w15:restartNumberingAfterBreak="0">
    <w:nsid w:val="2E7217ED"/>
    <w:multiLevelType w:val="hybridMultilevel"/>
    <w:tmpl w:val="71206138"/>
    <w:lvl w:ilvl="0" w:tplc="3E72EDA4">
      <w:start w:val="5"/>
      <w:numFmt w:val="bullet"/>
      <w:lvlText w:val="*"/>
      <w:lvlJc w:val="left"/>
      <w:pPr>
        <w:ind w:left="531" w:hanging="360"/>
      </w:pPr>
      <w:rPr>
        <w:rFonts w:ascii="Calibri" w:eastAsia="Times New Roman" w:hAnsi="Calibri" w:cs="Calibri" w:hint="default"/>
      </w:rPr>
    </w:lvl>
    <w:lvl w:ilvl="1" w:tplc="08090003" w:tentative="1">
      <w:start w:val="1"/>
      <w:numFmt w:val="bullet"/>
      <w:lvlText w:val="o"/>
      <w:lvlJc w:val="left"/>
      <w:pPr>
        <w:ind w:left="1251" w:hanging="360"/>
      </w:pPr>
      <w:rPr>
        <w:rFonts w:ascii="Courier New" w:hAnsi="Courier New" w:cs="Courier New" w:hint="default"/>
      </w:rPr>
    </w:lvl>
    <w:lvl w:ilvl="2" w:tplc="08090005" w:tentative="1">
      <w:start w:val="1"/>
      <w:numFmt w:val="bullet"/>
      <w:lvlText w:val=""/>
      <w:lvlJc w:val="left"/>
      <w:pPr>
        <w:ind w:left="1971" w:hanging="360"/>
      </w:pPr>
      <w:rPr>
        <w:rFonts w:ascii="Wingdings" w:hAnsi="Wingdings" w:hint="default"/>
      </w:rPr>
    </w:lvl>
    <w:lvl w:ilvl="3" w:tplc="08090001" w:tentative="1">
      <w:start w:val="1"/>
      <w:numFmt w:val="bullet"/>
      <w:lvlText w:val=""/>
      <w:lvlJc w:val="left"/>
      <w:pPr>
        <w:ind w:left="2691" w:hanging="360"/>
      </w:pPr>
      <w:rPr>
        <w:rFonts w:ascii="Symbol" w:hAnsi="Symbol" w:hint="default"/>
      </w:rPr>
    </w:lvl>
    <w:lvl w:ilvl="4" w:tplc="08090003" w:tentative="1">
      <w:start w:val="1"/>
      <w:numFmt w:val="bullet"/>
      <w:lvlText w:val="o"/>
      <w:lvlJc w:val="left"/>
      <w:pPr>
        <w:ind w:left="3411" w:hanging="360"/>
      </w:pPr>
      <w:rPr>
        <w:rFonts w:ascii="Courier New" w:hAnsi="Courier New" w:cs="Courier New" w:hint="default"/>
      </w:rPr>
    </w:lvl>
    <w:lvl w:ilvl="5" w:tplc="08090005" w:tentative="1">
      <w:start w:val="1"/>
      <w:numFmt w:val="bullet"/>
      <w:lvlText w:val=""/>
      <w:lvlJc w:val="left"/>
      <w:pPr>
        <w:ind w:left="4131" w:hanging="360"/>
      </w:pPr>
      <w:rPr>
        <w:rFonts w:ascii="Wingdings" w:hAnsi="Wingdings" w:hint="default"/>
      </w:rPr>
    </w:lvl>
    <w:lvl w:ilvl="6" w:tplc="08090001" w:tentative="1">
      <w:start w:val="1"/>
      <w:numFmt w:val="bullet"/>
      <w:lvlText w:val=""/>
      <w:lvlJc w:val="left"/>
      <w:pPr>
        <w:ind w:left="4851" w:hanging="360"/>
      </w:pPr>
      <w:rPr>
        <w:rFonts w:ascii="Symbol" w:hAnsi="Symbol" w:hint="default"/>
      </w:rPr>
    </w:lvl>
    <w:lvl w:ilvl="7" w:tplc="08090003" w:tentative="1">
      <w:start w:val="1"/>
      <w:numFmt w:val="bullet"/>
      <w:lvlText w:val="o"/>
      <w:lvlJc w:val="left"/>
      <w:pPr>
        <w:ind w:left="5571" w:hanging="360"/>
      </w:pPr>
      <w:rPr>
        <w:rFonts w:ascii="Courier New" w:hAnsi="Courier New" w:cs="Courier New" w:hint="default"/>
      </w:rPr>
    </w:lvl>
    <w:lvl w:ilvl="8" w:tplc="08090005" w:tentative="1">
      <w:start w:val="1"/>
      <w:numFmt w:val="bullet"/>
      <w:lvlText w:val=""/>
      <w:lvlJc w:val="left"/>
      <w:pPr>
        <w:ind w:left="6291" w:hanging="360"/>
      </w:pPr>
      <w:rPr>
        <w:rFonts w:ascii="Wingdings" w:hAnsi="Wingdings" w:hint="default"/>
      </w:rPr>
    </w:lvl>
  </w:abstractNum>
  <w:abstractNum w:abstractNumId="13" w15:restartNumberingAfterBreak="0">
    <w:nsid w:val="33AF79AD"/>
    <w:multiLevelType w:val="hybridMultilevel"/>
    <w:tmpl w:val="339E8830"/>
    <w:lvl w:ilvl="0" w:tplc="099E471E">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02B98"/>
    <w:multiLevelType w:val="hybridMultilevel"/>
    <w:tmpl w:val="BCB4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B61B2"/>
    <w:multiLevelType w:val="hybridMultilevel"/>
    <w:tmpl w:val="BE52C964"/>
    <w:lvl w:ilvl="0" w:tplc="978E906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B169A"/>
    <w:multiLevelType w:val="hybridMultilevel"/>
    <w:tmpl w:val="973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D40AE"/>
    <w:multiLevelType w:val="hybridMultilevel"/>
    <w:tmpl w:val="2D5807F6"/>
    <w:lvl w:ilvl="0" w:tplc="DBF4CE0E">
      <w:start w:val="1"/>
      <w:numFmt w:val="bullet"/>
      <w:lvlText w:val="•"/>
      <w:lvlJc w:val="left"/>
      <w:pPr>
        <w:tabs>
          <w:tab w:val="num" w:pos="720"/>
        </w:tabs>
        <w:ind w:left="720" w:hanging="360"/>
      </w:pPr>
      <w:rPr>
        <w:rFonts w:ascii="Times New Roman" w:hAnsi="Times New Roman" w:hint="default"/>
      </w:rPr>
    </w:lvl>
    <w:lvl w:ilvl="1" w:tplc="8AB234DE" w:tentative="1">
      <w:start w:val="1"/>
      <w:numFmt w:val="bullet"/>
      <w:lvlText w:val="•"/>
      <w:lvlJc w:val="left"/>
      <w:pPr>
        <w:tabs>
          <w:tab w:val="num" w:pos="1440"/>
        </w:tabs>
        <w:ind w:left="1440" w:hanging="360"/>
      </w:pPr>
      <w:rPr>
        <w:rFonts w:ascii="Times New Roman" w:hAnsi="Times New Roman" w:hint="default"/>
      </w:rPr>
    </w:lvl>
    <w:lvl w:ilvl="2" w:tplc="B8C84102" w:tentative="1">
      <w:start w:val="1"/>
      <w:numFmt w:val="bullet"/>
      <w:lvlText w:val="•"/>
      <w:lvlJc w:val="left"/>
      <w:pPr>
        <w:tabs>
          <w:tab w:val="num" w:pos="2160"/>
        </w:tabs>
        <w:ind w:left="2160" w:hanging="360"/>
      </w:pPr>
      <w:rPr>
        <w:rFonts w:ascii="Times New Roman" w:hAnsi="Times New Roman" w:hint="default"/>
      </w:rPr>
    </w:lvl>
    <w:lvl w:ilvl="3" w:tplc="7A8856EE" w:tentative="1">
      <w:start w:val="1"/>
      <w:numFmt w:val="bullet"/>
      <w:lvlText w:val="•"/>
      <w:lvlJc w:val="left"/>
      <w:pPr>
        <w:tabs>
          <w:tab w:val="num" w:pos="2880"/>
        </w:tabs>
        <w:ind w:left="2880" w:hanging="360"/>
      </w:pPr>
      <w:rPr>
        <w:rFonts w:ascii="Times New Roman" w:hAnsi="Times New Roman" w:hint="default"/>
      </w:rPr>
    </w:lvl>
    <w:lvl w:ilvl="4" w:tplc="39165200" w:tentative="1">
      <w:start w:val="1"/>
      <w:numFmt w:val="bullet"/>
      <w:lvlText w:val="•"/>
      <w:lvlJc w:val="left"/>
      <w:pPr>
        <w:tabs>
          <w:tab w:val="num" w:pos="3600"/>
        </w:tabs>
        <w:ind w:left="3600" w:hanging="360"/>
      </w:pPr>
      <w:rPr>
        <w:rFonts w:ascii="Times New Roman" w:hAnsi="Times New Roman" w:hint="default"/>
      </w:rPr>
    </w:lvl>
    <w:lvl w:ilvl="5" w:tplc="4D147594" w:tentative="1">
      <w:start w:val="1"/>
      <w:numFmt w:val="bullet"/>
      <w:lvlText w:val="•"/>
      <w:lvlJc w:val="left"/>
      <w:pPr>
        <w:tabs>
          <w:tab w:val="num" w:pos="4320"/>
        </w:tabs>
        <w:ind w:left="4320" w:hanging="360"/>
      </w:pPr>
      <w:rPr>
        <w:rFonts w:ascii="Times New Roman" w:hAnsi="Times New Roman" w:hint="default"/>
      </w:rPr>
    </w:lvl>
    <w:lvl w:ilvl="6" w:tplc="46FCBAC0" w:tentative="1">
      <w:start w:val="1"/>
      <w:numFmt w:val="bullet"/>
      <w:lvlText w:val="•"/>
      <w:lvlJc w:val="left"/>
      <w:pPr>
        <w:tabs>
          <w:tab w:val="num" w:pos="5040"/>
        </w:tabs>
        <w:ind w:left="5040" w:hanging="360"/>
      </w:pPr>
      <w:rPr>
        <w:rFonts w:ascii="Times New Roman" w:hAnsi="Times New Roman" w:hint="default"/>
      </w:rPr>
    </w:lvl>
    <w:lvl w:ilvl="7" w:tplc="EB4E901C" w:tentative="1">
      <w:start w:val="1"/>
      <w:numFmt w:val="bullet"/>
      <w:lvlText w:val="•"/>
      <w:lvlJc w:val="left"/>
      <w:pPr>
        <w:tabs>
          <w:tab w:val="num" w:pos="5760"/>
        </w:tabs>
        <w:ind w:left="5760" w:hanging="360"/>
      </w:pPr>
      <w:rPr>
        <w:rFonts w:ascii="Times New Roman" w:hAnsi="Times New Roman" w:hint="default"/>
      </w:rPr>
    </w:lvl>
    <w:lvl w:ilvl="8" w:tplc="E48A12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6715AA"/>
    <w:multiLevelType w:val="hybridMultilevel"/>
    <w:tmpl w:val="8700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538DB"/>
    <w:multiLevelType w:val="hybridMultilevel"/>
    <w:tmpl w:val="D200075A"/>
    <w:lvl w:ilvl="0" w:tplc="89B448D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75592"/>
    <w:multiLevelType w:val="hybridMultilevel"/>
    <w:tmpl w:val="247A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658F7"/>
    <w:multiLevelType w:val="hybridMultilevel"/>
    <w:tmpl w:val="C6B0001C"/>
    <w:lvl w:ilvl="0" w:tplc="7A72F4C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5246B"/>
    <w:multiLevelType w:val="hybridMultilevel"/>
    <w:tmpl w:val="958814EE"/>
    <w:lvl w:ilvl="0" w:tplc="A19C64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66B5C"/>
    <w:multiLevelType w:val="hybridMultilevel"/>
    <w:tmpl w:val="D8502F6A"/>
    <w:lvl w:ilvl="0" w:tplc="BF082604">
      <w:start w:val="1"/>
      <w:numFmt w:val="decimal"/>
      <w:lvlText w:val="%1."/>
      <w:lvlJc w:val="left"/>
      <w:pPr>
        <w:ind w:left="720" w:hanging="360"/>
      </w:pPr>
      <w:rPr>
        <w:rFonts w:cs="Calibri" w:hint="default"/>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E62D9"/>
    <w:multiLevelType w:val="hybridMultilevel"/>
    <w:tmpl w:val="F0720B18"/>
    <w:lvl w:ilvl="0" w:tplc="05584262">
      <w:start w:val="1"/>
      <w:numFmt w:val="bullet"/>
      <w:lvlText w:val="•"/>
      <w:lvlJc w:val="left"/>
      <w:pPr>
        <w:tabs>
          <w:tab w:val="num" w:pos="720"/>
        </w:tabs>
        <w:ind w:left="720" w:hanging="360"/>
      </w:pPr>
      <w:rPr>
        <w:rFonts w:ascii="Arial" w:hAnsi="Arial" w:hint="default"/>
      </w:rPr>
    </w:lvl>
    <w:lvl w:ilvl="1" w:tplc="1624D466" w:tentative="1">
      <w:start w:val="1"/>
      <w:numFmt w:val="bullet"/>
      <w:lvlText w:val="•"/>
      <w:lvlJc w:val="left"/>
      <w:pPr>
        <w:tabs>
          <w:tab w:val="num" w:pos="1440"/>
        </w:tabs>
        <w:ind w:left="1440" w:hanging="360"/>
      </w:pPr>
      <w:rPr>
        <w:rFonts w:ascii="Arial" w:hAnsi="Arial" w:hint="default"/>
      </w:rPr>
    </w:lvl>
    <w:lvl w:ilvl="2" w:tplc="ED6A8BFA" w:tentative="1">
      <w:start w:val="1"/>
      <w:numFmt w:val="bullet"/>
      <w:lvlText w:val="•"/>
      <w:lvlJc w:val="left"/>
      <w:pPr>
        <w:tabs>
          <w:tab w:val="num" w:pos="2160"/>
        </w:tabs>
        <w:ind w:left="2160" w:hanging="360"/>
      </w:pPr>
      <w:rPr>
        <w:rFonts w:ascii="Arial" w:hAnsi="Arial" w:hint="default"/>
      </w:rPr>
    </w:lvl>
    <w:lvl w:ilvl="3" w:tplc="743CB002" w:tentative="1">
      <w:start w:val="1"/>
      <w:numFmt w:val="bullet"/>
      <w:lvlText w:val="•"/>
      <w:lvlJc w:val="left"/>
      <w:pPr>
        <w:tabs>
          <w:tab w:val="num" w:pos="2880"/>
        </w:tabs>
        <w:ind w:left="2880" w:hanging="360"/>
      </w:pPr>
      <w:rPr>
        <w:rFonts w:ascii="Arial" w:hAnsi="Arial" w:hint="default"/>
      </w:rPr>
    </w:lvl>
    <w:lvl w:ilvl="4" w:tplc="C4C40C00" w:tentative="1">
      <w:start w:val="1"/>
      <w:numFmt w:val="bullet"/>
      <w:lvlText w:val="•"/>
      <w:lvlJc w:val="left"/>
      <w:pPr>
        <w:tabs>
          <w:tab w:val="num" w:pos="3600"/>
        </w:tabs>
        <w:ind w:left="3600" w:hanging="360"/>
      </w:pPr>
      <w:rPr>
        <w:rFonts w:ascii="Arial" w:hAnsi="Arial" w:hint="default"/>
      </w:rPr>
    </w:lvl>
    <w:lvl w:ilvl="5" w:tplc="D51E5BAC" w:tentative="1">
      <w:start w:val="1"/>
      <w:numFmt w:val="bullet"/>
      <w:lvlText w:val="•"/>
      <w:lvlJc w:val="left"/>
      <w:pPr>
        <w:tabs>
          <w:tab w:val="num" w:pos="4320"/>
        </w:tabs>
        <w:ind w:left="4320" w:hanging="360"/>
      </w:pPr>
      <w:rPr>
        <w:rFonts w:ascii="Arial" w:hAnsi="Arial" w:hint="default"/>
      </w:rPr>
    </w:lvl>
    <w:lvl w:ilvl="6" w:tplc="683C2086" w:tentative="1">
      <w:start w:val="1"/>
      <w:numFmt w:val="bullet"/>
      <w:lvlText w:val="•"/>
      <w:lvlJc w:val="left"/>
      <w:pPr>
        <w:tabs>
          <w:tab w:val="num" w:pos="5040"/>
        </w:tabs>
        <w:ind w:left="5040" w:hanging="360"/>
      </w:pPr>
      <w:rPr>
        <w:rFonts w:ascii="Arial" w:hAnsi="Arial" w:hint="default"/>
      </w:rPr>
    </w:lvl>
    <w:lvl w:ilvl="7" w:tplc="21484D7C" w:tentative="1">
      <w:start w:val="1"/>
      <w:numFmt w:val="bullet"/>
      <w:lvlText w:val="•"/>
      <w:lvlJc w:val="left"/>
      <w:pPr>
        <w:tabs>
          <w:tab w:val="num" w:pos="5760"/>
        </w:tabs>
        <w:ind w:left="5760" w:hanging="360"/>
      </w:pPr>
      <w:rPr>
        <w:rFonts w:ascii="Arial" w:hAnsi="Arial" w:hint="default"/>
      </w:rPr>
    </w:lvl>
    <w:lvl w:ilvl="8" w:tplc="EBA243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6D17C3"/>
    <w:multiLevelType w:val="hybridMultilevel"/>
    <w:tmpl w:val="6CD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C0074"/>
    <w:multiLevelType w:val="hybridMultilevel"/>
    <w:tmpl w:val="1E0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A4F61"/>
    <w:multiLevelType w:val="hybridMultilevel"/>
    <w:tmpl w:val="102A7B6E"/>
    <w:lvl w:ilvl="0" w:tplc="AE76556C">
      <w:start w:val="1"/>
      <w:numFmt w:val="bullet"/>
      <w:lvlText w:val="•"/>
      <w:lvlJc w:val="left"/>
      <w:pPr>
        <w:tabs>
          <w:tab w:val="num" w:pos="720"/>
        </w:tabs>
        <w:ind w:left="720" w:hanging="360"/>
      </w:pPr>
      <w:rPr>
        <w:rFonts w:ascii="Arial" w:hAnsi="Arial" w:hint="default"/>
      </w:rPr>
    </w:lvl>
    <w:lvl w:ilvl="1" w:tplc="6220F8FC" w:tentative="1">
      <w:start w:val="1"/>
      <w:numFmt w:val="bullet"/>
      <w:lvlText w:val="•"/>
      <w:lvlJc w:val="left"/>
      <w:pPr>
        <w:tabs>
          <w:tab w:val="num" w:pos="1440"/>
        </w:tabs>
        <w:ind w:left="1440" w:hanging="360"/>
      </w:pPr>
      <w:rPr>
        <w:rFonts w:ascii="Arial" w:hAnsi="Arial" w:hint="default"/>
      </w:rPr>
    </w:lvl>
    <w:lvl w:ilvl="2" w:tplc="7D047B06" w:tentative="1">
      <w:start w:val="1"/>
      <w:numFmt w:val="bullet"/>
      <w:lvlText w:val="•"/>
      <w:lvlJc w:val="left"/>
      <w:pPr>
        <w:tabs>
          <w:tab w:val="num" w:pos="2160"/>
        </w:tabs>
        <w:ind w:left="2160" w:hanging="360"/>
      </w:pPr>
      <w:rPr>
        <w:rFonts w:ascii="Arial" w:hAnsi="Arial" w:hint="default"/>
      </w:rPr>
    </w:lvl>
    <w:lvl w:ilvl="3" w:tplc="05EA1A14" w:tentative="1">
      <w:start w:val="1"/>
      <w:numFmt w:val="bullet"/>
      <w:lvlText w:val="•"/>
      <w:lvlJc w:val="left"/>
      <w:pPr>
        <w:tabs>
          <w:tab w:val="num" w:pos="2880"/>
        </w:tabs>
        <w:ind w:left="2880" w:hanging="360"/>
      </w:pPr>
      <w:rPr>
        <w:rFonts w:ascii="Arial" w:hAnsi="Arial" w:hint="default"/>
      </w:rPr>
    </w:lvl>
    <w:lvl w:ilvl="4" w:tplc="FBA6935A" w:tentative="1">
      <w:start w:val="1"/>
      <w:numFmt w:val="bullet"/>
      <w:lvlText w:val="•"/>
      <w:lvlJc w:val="left"/>
      <w:pPr>
        <w:tabs>
          <w:tab w:val="num" w:pos="3600"/>
        </w:tabs>
        <w:ind w:left="3600" w:hanging="360"/>
      </w:pPr>
      <w:rPr>
        <w:rFonts w:ascii="Arial" w:hAnsi="Arial" w:hint="default"/>
      </w:rPr>
    </w:lvl>
    <w:lvl w:ilvl="5" w:tplc="56268706" w:tentative="1">
      <w:start w:val="1"/>
      <w:numFmt w:val="bullet"/>
      <w:lvlText w:val="•"/>
      <w:lvlJc w:val="left"/>
      <w:pPr>
        <w:tabs>
          <w:tab w:val="num" w:pos="4320"/>
        </w:tabs>
        <w:ind w:left="4320" w:hanging="360"/>
      </w:pPr>
      <w:rPr>
        <w:rFonts w:ascii="Arial" w:hAnsi="Arial" w:hint="default"/>
      </w:rPr>
    </w:lvl>
    <w:lvl w:ilvl="6" w:tplc="7CC2C520" w:tentative="1">
      <w:start w:val="1"/>
      <w:numFmt w:val="bullet"/>
      <w:lvlText w:val="•"/>
      <w:lvlJc w:val="left"/>
      <w:pPr>
        <w:tabs>
          <w:tab w:val="num" w:pos="5040"/>
        </w:tabs>
        <w:ind w:left="5040" w:hanging="360"/>
      </w:pPr>
      <w:rPr>
        <w:rFonts w:ascii="Arial" w:hAnsi="Arial" w:hint="default"/>
      </w:rPr>
    </w:lvl>
    <w:lvl w:ilvl="7" w:tplc="16644A52" w:tentative="1">
      <w:start w:val="1"/>
      <w:numFmt w:val="bullet"/>
      <w:lvlText w:val="•"/>
      <w:lvlJc w:val="left"/>
      <w:pPr>
        <w:tabs>
          <w:tab w:val="num" w:pos="5760"/>
        </w:tabs>
        <w:ind w:left="5760" w:hanging="360"/>
      </w:pPr>
      <w:rPr>
        <w:rFonts w:ascii="Arial" w:hAnsi="Arial" w:hint="default"/>
      </w:rPr>
    </w:lvl>
    <w:lvl w:ilvl="8" w:tplc="7B4EF2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E011F5"/>
    <w:multiLevelType w:val="hybridMultilevel"/>
    <w:tmpl w:val="4E84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D1664"/>
    <w:multiLevelType w:val="hybridMultilevel"/>
    <w:tmpl w:val="3DA2C370"/>
    <w:lvl w:ilvl="0" w:tplc="F692DAA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32B94"/>
    <w:multiLevelType w:val="hybridMultilevel"/>
    <w:tmpl w:val="5EE884E6"/>
    <w:lvl w:ilvl="0" w:tplc="E410E9C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192D7D"/>
    <w:multiLevelType w:val="hybridMultilevel"/>
    <w:tmpl w:val="3C78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77399"/>
    <w:multiLevelType w:val="hybridMultilevel"/>
    <w:tmpl w:val="555C0F58"/>
    <w:lvl w:ilvl="0" w:tplc="F692DAA6">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074F0"/>
    <w:multiLevelType w:val="hybridMultilevel"/>
    <w:tmpl w:val="0F580350"/>
    <w:lvl w:ilvl="0" w:tplc="894CA0C0">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9E226E4"/>
    <w:multiLevelType w:val="hybridMultilevel"/>
    <w:tmpl w:val="6DD4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74F7A"/>
    <w:multiLevelType w:val="hybridMultilevel"/>
    <w:tmpl w:val="10DC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62033"/>
    <w:multiLevelType w:val="hybridMultilevel"/>
    <w:tmpl w:val="0A0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84EC3"/>
    <w:multiLevelType w:val="hybridMultilevel"/>
    <w:tmpl w:val="8D9C26CA"/>
    <w:lvl w:ilvl="0" w:tplc="79C4BEF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9"/>
  </w:num>
  <w:num w:numId="4">
    <w:abstractNumId w:val="11"/>
  </w:num>
  <w:num w:numId="5">
    <w:abstractNumId w:val="32"/>
  </w:num>
  <w:num w:numId="6">
    <w:abstractNumId w:val="29"/>
  </w:num>
  <w:num w:numId="7">
    <w:abstractNumId w:val="33"/>
  </w:num>
  <w:num w:numId="8">
    <w:abstractNumId w:val="12"/>
  </w:num>
  <w:num w:numId="9">
    <w:abstractNumId w:val="7"/>
  </w:num>
  <w:num w:numId="10">
    <w:abstractNumId w:val="22"/>
  </w:num>
  <w:num w:numId="11">
    <w:abstractNumId w:val="34"/>
  </w:num>
  <w:num w:numId="12">
    <w:abstractNumId w:val="14"/>
  </w:num>
  <w:num w:numId="13">
    <w:abstractNumId w:val="0"/>
  </w:num>
  <w:num w:numId="14">
    <w:abstractNumId w:val="30"/>
  </w:num>
  <w:num w:numId="15">
    <w:abstractNumId w:val="19"/>
  </w:num>
  <w:num w:numId="16">
    <w:abstractNumId w:val="20"/>
  </w:num>
  <w:num w:numId="17">
    <w:abstractNumId w:val="2"/>
  </w:num>
  <w:num w:numId="18">
    <w:abstractNumId w:val="37"/>
  </w:num>
  <w:num w:numId="19">
    <w:abstractNumId w:val="17"/>
  </w:num>
  <w:num w:numId="20">
    <w:abstractNumId w:val="8"/>
  </w:num>
  <w:num w:numId="21">
    <w:abstractNumId w:val="13"/>
  </w:num>
  <w:num w:numId="22">
    <w:abstractNumId w:val="36"/>
  </w:num>
  <w:num w:numId="23">
    <w:abstractNumId w:val="6"/>
  </w:num>
  <w:num w:numId="24">
    <w:abstractNumId w:val="4"/>
  </w:num>
  <w:num w:numId="25">
    <w:abstractNumId w:val="27"/>
  </w:num>
  <w:num w:numId="26">
    <w:abstractNumId w:val="18"/>
  </w:num>
  <w:num w:numId="27">
    <w:abstractNumId w:val="1"/>
  </w:num>
  <w:num w:numId="28">
    <w:abstractNumId w:val="28"/>
  </w:num>
  <w:num w:numId="29">
    <w:abstractNumId w:val="24"/>
  </w:num>
  <w:num w:numId="30">
    <w:abstractNumId w:val="25"/>
  </w:num>
  <w:num w:numId="31">
    <w:abstractNumId w:val="26"/>
  </w:num>
  <w:num w:numId="32">
    <w:abstractNumId w:val="16"/>
  </w:num>
  <w:num w:numId="33">
    <w:abstractNumId w:val="23"/>
  </w:num>
  <w:num w:numId="34">
    <w:abstractNumId w:val="35"/>
  </w:num>
  <w:num w:numId="35">
    <w:abstractNumId w:val="5"/>
  </w:num>
  <w:num w:numId="36">
    <w:abstractNumId w:val="10"/>
  </w:num>
  <w:num w:numId="37">
    <w:abstractNumId w:val="3"/>
  </w:num>
  <w:num w:numId="3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E"/>
    <w:rsid w:val="00001E80"/>
    <w:rsid w:val="000026A6"/>
    <w:rsid w:val="00003679"/>
    <w:rsid w:val="000071AB"/>
    <w:rsid w:val="0001001C"/>
    <w:rsid w:val="00010122"/>
    <w:rsid w:val="00011230"/>
    <w:rsid w:val="000117E2"/>
    <w:rsid w:val="00022B5D"/>
    <w:rsid w:val="00024BC9"/>
    <w:rsid w:val="00026A27"/>
    <w:rsid w:val="000278C1"/>
    <w:rsid w:val="0003272E"/>
    <w:rsid w:val="00033909"/>
    <w:rsid w:val="00034D4B"/>
    <w:rsid w:val="00036F5D"/>
    <w:rsid w:val="00036F77"/>
    <w:rsid w:val="0004102D"/>
    <w:rsid w:val="00041867"/>
    <w:rsid w:val="00043DA3"/>
    <w:rsid w:val="000440B9"/>
    <w:rsid w:val="0004476D"/>
    <w:rsid w:val="000454E5"/>
    <w:rsid w:val="00046237"/>
    <w:rsid w:val="000503BD"/>
    <w:rsid w:val="000572BA"/>
    <w:rsid w:val="00057B7C"/>
    <w:rsid w:val="0006031A"/>
    <w:rsid w:val="0006171E"/>
    <w:rsid w:val="0006367F"/>
    <w:rsid w:val="00064840"/>
    <w:rsid w:val="00064D66"/>
    <w:rsid w:val="00065383"/>
    <w:rsid w:val="00065ED2"/>
    <w:rsid w:val="000671BE"/>
    <w:rsid w:val="000711A8"/>
    <w:rsid w:val="0007143B"/>
    <w:rsid w:val="000725BE"/>
    <w:rsid w:val="000727E6"/>
    <w:rsid w:val="00072B2E"/>
    <w:rsid w:val="000734FE"/>
    <w:rsid w:val="00073D63"/>
    <w:rsid w:val="0007624A"/>
    <w:rsid w:val="0007625E"/>
    <w:rsid w:val="000811CD"/>
    <w:rsid w:val="00081514"/>
    <w:rsid w:val="00082EB0"/>
    <w:rsid w:val="000858CA"/>
    <w:rsid w:val="00085F0B"/>
    <w:rsid w:val="00086E85"/>
    <w:rsid w:val="00093590"/>
    <w:rsid w:val="00094178"/>
    <w:rsid w:val="00097E28"/>
    <w:rsid w:val="000A0A0A"/>
    <w:rsid w:val="000A17EF"/>
    <w:rsid w:val="000A2FE1"/>
    <w:rsid w:val="000A44C6"/>
    <w:rsid w:val="000A5D80"/>
    <w:rsid w:val="000A658E"/>
    <w:rsid w:val="000B077B"/>
    <w:rsid w:val="000B265A"/>
    <w:rsid w:val="000B29A1"/>
    <w:rsid w:val="000B3B07"/>
    <w:rsid w:val="000B3C05"/>
    <w:rsid w:val="000B4A35"/>
    <w:rsid w:val="000B743E"/>
    <w:rsid w:val="000C055B"/>
    <w:rsid w:val="000C2A27"/>
    <w:rsid w:val="000C2B92"/>
    <w:rsid w:val="000C42D0"/>
    <w:rsid w:val="000D00B8"/>
    <w:rsid w:val="000D039B"/>
    <w:rsid w:val="000D09D9"/>
    <w:rsid w:val="000D1B3E"/>
    <w:rsid w:val="000D4478"/>
    <w:rsid w:val="000D5338"/>
    <w:rsid w:val="000D5676"/>
    <w:rsid w:val="000E0493"/>
    <w:rsid w:val="000E1520"/>
    <w:rsid w:val="000E2FC6"/>
    <w:rsid w:val="000E3795"/>
    <w:rsid w:val="000E38E9"/>
    <w:rsid w:val="000E3BDD"/>
    <w:rsid w:val="000E3BE3"/>
    <w:rsid w:val="000E74E4"/>
    <w:rsid w:val="000F287C"/>
    <w:rsid w:val="000F2B41"/>
    <w:rsid w:val="000F2FF5"/>
    <w:rsid w:val="000F4119"/>
    <w:rsid w:val="000F437E"/>
    <w:rsid w:val="000F4380"/>
    <w:rsid w:val="000F46B8"/>
    <w:rsid w:val="000F6C20"/>
    <w:rsid w:val="000F6D54"/>
    <w:rsid w:val="000F76D5"/>
    <w:rsid w:val="00100462"/>
    <w:rsid w:val="00100C08"/>
    <w:rsid w:val="001137C3"/>
    <w:rsid w:val="00113B3B"/>
    <w:rsid w:val="00113D43"/>
    <w:rsid w:val="00115A45"/>
    <w:rsid w:val="0011740C"/>
    <w:rsid w:val="001212CB"/>
    <w:rsid w:val="001226C9"/>
    <w:rsid w:val="001242CC"/>
    <w:rsid w:val="0012459D"/>
    <w:rsid w:val="00125430"/>
    <w:rsid w:val="001267BB"/>
    <w:rsid w:val="001269C1"/>
    <w:rsid w:val="00126FC1"/>
    <w:rsid w:val="00127F68"/>
    <w:rsid w:val="00130739"/>
    <w:rsid w:val="0013230B"/>
    <w:rsid w:val="00132753"/>
    <w:rsid w:val="00132BB0"/>
    <w:rsid w:val="001366FF"/>
    <w:rsid w:val="00137198"/>
    <w:rsid w:val="00137CDE"/>
    <w:rsid w:val="00141C07"/>
    <w:rsid w:val="00141F63"/>
    <w:rsid w:val="00144B87"/>
    <w:rsid w:val="00144BCA"/>
    <w:rsid w:val="00151583"/>
    <w:rsid w:val="001519BA"/>
    <w:rsid w:val="00152112"/>
    <w:rsid w:val="001538FF"/>
    <w:rsid w:val="00155593"/>
    <w:rsid w:val="001556E9"/>
    <w:rsid w:val="00156BD9"/>
    <w:rsid w:val="00160812"/>
    <w:rsid w:val="001608E2"/>
    <w:rsid w:val="0016163C"/>
    <w:rsid w:val="00164523"/>
    <w:rsid w:val="001653D9"/>
    <w:rsid w:val="0016561C"/>
    <w:rsid w:val="00165897"/>
    <w:rsid w:val="001670A3"/>
    <w:rsid w:val="00170543"/>
    <w:rsid w:val="00170FBE"/>
    <w:rsid w:val="00172587"/>
    <w:rsid w:val="0017282D"/>
    <w:rsid w:val="00173659"/>
    <w:rsid w:val="00173A63"/>
    <w:rsid w:val="001755AB"/>
    <w:rsid w:val="00176BEE"/>
    <w:rsid w:val="00180166"/>
    <w:rsid w:val="0018299C"/>
    <w:rsid w:val="00183E02"/>
    <w:rsid w:val="00191ABA"/>
    <w:rsid w:val="00193E1E"/>
    <w:rsid w:val="001947FE"/>
    <w:rsid w:val="00194CF4"/>
    <w:rsid w:val="00194EF7"/>
    <w:rsid w:val="0019579B"/>
    <w:rsid w:val="00195A08"/>
    <w:rsid w:val="0019739C"/>
    <w:rsid w:val="001A039A"/>
    <w:rsid w:val="001A2FE4"/>
    <w:rsid w:val="001A4369"/>
    <w:rsid w:val="001A6DB2"/>
    <w:rsid w:val="001B0211"/>
    <w:rsid w:val="001B2A6B"/>
    <w:rsid w:val="001B4470"/>
    <w:rsid w:val="001B6C88"/>
    <w:rsid w:val="001B6FC1"/>
    <w:rsid w:val="001C045C"/>
    <w:rsid w:val="001C2124"/>
    <w:rsid w:val="001C2374"/>
    <w:rsid w:val="001C2DC5"/>
    <w:rsid w:val="001C5931"/>
    <w:rsid w:val="001C5CAF"/>
    <w:rsid w:val="001C6991"/>
    <w:rsid w:val="001D1506"/>
    <w:rsid w:val="001D2BCF"/>
    <w:rsid w:val="001D5526"/>
    <w:rsid w:val="001D6429"/>
    <w:rsid w:val="001D65CA"/>
    <w:rsid w:val="001E083E"/>
    <w:rsid w:val="001E0C8C"/>
    <w:rsid w:val="001E1DBD"/>
    <w:rsid w:val="001E2162"/>
    <w:rsid w:val="001E31FB"/>
    <w:rsid w:val="001E4422"/>
    <w:rsid w:val="001E4D16"/>
    <w:rsid w:val="001E57C1"/>
    <w:rsid w:val="001E6F3E"/>
    <w:rsid w:val="001F14DD"/>
    <w:rsid w:val="001F35DE"/>
    <w:rsid w:val="001F37B1"/>
    <w:rsid w:val="001F5EFB"/>
    <w:rsid w:val="001F62A1"/>
    <w:rsid w:val="001F6B62"/>
    <w:rsid w:val="001F73FE"/>
    <w:rsid w:val="00202B6D"/>
    <w:rsid w:val="00202E9C"/>
    <w:rsid w:val="002034CB"/>
    <w:rsid w:val="0020352E"/>
    <w:rsid w:val="00203E7C"/>
    <w:rsid w:val="00204187"/>
    <w:rsid w:val="00205287"/>
    <w:rsid w:val="00205BF2"/>
    <w:rsid w:val="00205D32"/>
    <w:rsid w:val="00206A99"/>
    <w:rsid w:val="00206DC6"/>
    <w:rsid w:val="00210E5D"/>
    <w:rsid w:val="00211649"/>
    <w:rsid w:val="00211DD9"/>
    <w:rsid w:val="00212159"/>
    <w:rsid w:val="0021363B"/>
    <w:rsid w:val="00214048"/>
    <w:rsid w:val="00217493"/>
    <w:rsid w:val="00217D1E"/>
    <w:rsid w:val="002251A4"/>
    <w:rsid w:val="00230157"/>
    <w:rsid w:val="00232CC9"/>
    <w:rsid w:val="0023382D"/>
    <w:rsid w:val="00234A92"/>
    <w:rsid w:val="00235393"/>
    <w:rsid w:val="0023624A"/>
    <w:rsid w:val="002375FC"/>
    <w:rsid w:val="002417D9"/>
    <w:rsid w:val="002418DE"/>
    <w:rsid w:val="00241A30"/>
    <w:rsid w:val="00242F6A"/>
    <w:rsid w:val="00243EF3"/>
    <w:rsid w:val="00243F1D"/>
    <w:rsid w:val="002448F9"/>
    <w:rsid w:val="00244E5B"/>
    <w:rsid w:val="002461CD"/>
    <w:rsid w:val="002509E5"/>
    <w:rsid w:val="00251482"/>
    <w:rsid w:val="00251FE2"/>
    <w:rsid w:val="002558C7"/>
    <w:rsid w:val="00255F7F"/>
    <w:rsid w:val="0025756D"/>
    <w:rsid w:val="00257654"/>
    <w:rsid w:val="002579E9"/>
    <w:rsid w:val="00262947"/>
    <w:rsid w:val="002645E6"/>
    <w:rsid w:val="002656E0"/>
    <w:rsid w:val="002664F8"/>
    <w:rsid w:val="00266C66"/>
    <w:rsid w:val="0026708F"/>
    <w:rsid w:val="00270378"/>
    <w:rsid w:val="00270ED2"/>
    <w:rsid w:val="00271810"/>
    <w:rsid w:val="00272560"/>
    <w:rsid w:val="002740DB"/>
    <w:rsid w:val="002749A0"/>
    <w:rsid w:val="00274E9B"/>
    <w:rsid w:val="00275134"/>
    <w:rsid w:val="00275E2B"/>
    <w:rsid w:val="00280364"/>
    <w:rsid w:val="002866EF"/>
    <w:rsid w:val="002877C8"/>
    <w:rsid w:val="00287BCE"/>
    <w:rsid w:val="00287C38"/>
    <w:rsid w:val="002906D3"/>
    <w:rsid w:val="00292E5F"/>
    <w:rsid w:val="00293A3D"/>
    <w:rsid w:val="00297F6B"/>
    <w:rsid w:val="002A1339"/>
    <w:rsid w:val="002A2814"/>
    <w:rsid w:val="002A33E7"/>
    <w:rsid w:val="002A4CEF"/>
    <w:rsid w:val="002A7090"/>
    <w:rsid w:val="002A77B4"/>
    <w:rsid w:val="002A7CE6"/>
    <w:rsid w:val="002B0867"/>
    <w:rsid w:val="002B1963"/>
    <w:rsid w:val="002B1F53"/>
    <w:rsid w:val="002B2507"/>
    <w:rsid w:val="002B6913"/>
    <w:rsid w:val="002B73BF"/>
    <w:rsid w:val="002C1072"/>
    <w:rsid w:val="002C2773"/>
    <w:rsid w:val="002C5CBE"/>
    <w:rsid w:val="002C613E"/>
    <w:rsid w:val="002C70A3"/>
    <w:rsid w:val="002C7BC4"/>
    <w:rsid w:val="002D1EF5"/>
    <w:rsid w:val="002D2396"/>
    <w:rsid w:val="002D3943"/>
    <w:rsid w:val="002D55EB"/>
    <w:rsid w:val="002D6026"/>
    <w:rsid w:val="002D7617"/>
    <w:rsid w:val="002D7D4B"/>
    <w:rsid w:val="002E0467"/>
    <w:rsid w:val="002E0E6E"/>
    <w:rsid w:val="002E14B5"/>
    <w:rsid w:val="002E4E9C"/>
    <w:rsid w:val="002E53E1"/>
    <w:rsid w:val="002E5794"/>
    <w:rsid w:val="002E66DC"/>
    <w:rsid w:val="002F0250"/>
    <w:rsid w:val="002F0AAD"/>
    <w:rsid w:val="002F1922"/>
    <w:rsid w:val="002F2986"/>
    <w:rsid w:val="002F3693"/>
    <w:rsid w:val="002F3D60"/>
    <w:rsid w:val="002F3D8C"/>
    <w:rsid w:val="002F434C"/>
    <w:rsid w:val="002F4B96"/>
    <w:rsid w:val="00302223"/>
    <w:rsid w:val="003026D8"/>
    <w:rsid w:val="0030610C"/>
    <w:rsid w:val="0030655A"/>
    <w:rsid w:val="00306F1D"/>
    <w:rsid w:val="0030791C"/>
    <w:rsid w:val="003122D5"/>
    <w:rsid w:val="003152D5"/>
    <w:rsid w:val="00315B53"/>
    <w:rsid w:val="00316961"/>
    <w:rsid w:val="0032026C"/>
    <w:rsid w:val="003219AF"/>
    <w:rsid w:val="00324A78"/>
    <w:rsid w:val="0032667D"/>
    <w:rsid w:val="00331257"/>
    <w:rsid w:val="00333363"/>
    <w:rsid w:val="0033396A"/>
    <w:rsid w:val="003353DE"/>
    <w:rsid w:val="00337082"/>
    <w:rsid w:val="003375FB"/>
    <w:rsid w:val="00340972"/>
    <w:rsid w:val="003413E8"/>
    <w:rsid w:val="003434F6"/>
    <w:rsid w:val="00344A5E"/>
    <w:rsid w:val="0034574A"/>
    <w:rsid w:val="00350749"/>
    <w:rsid w:val="003510AF"/>
    <w:rsid w:val="00351307"/>
    <w:rsid w:val="00352307"/>
    <w:rsid w:val="00352386"/>
    <w:rsid w:val="00352A06"/>
    <w:rsid w:val="00352F8C"/>
    <w:rsid w:val="00353B72"/>
    <w:rsid w:val="00353C72"/>
    <w:rsid w:val="003541A0"/>
    <w:rsid w:val="0035471D"/>
    <w:rsid w:val="003556B7"/>
    <w:rsid w:val="00356317"/>
    <w:rsid w:val="003576EC"/>
    <w:rsid w:val="00357730"/>
    <w:rsid w:val="003579F7"/>
    <w:rsid w:val="00361A98"/>
    <w:rsid w:val="00363671"/>
    <w:rsid w:val="003638A9"/>
    <w:rsid w:val="00364243"/>
    <w:rsid w:val="00365B5F"/>
    <w:rsid w:val="00365B6D"/>
    <w:rsid w:val="00370180"/>
    <w:rsid w:val="00371A70"/>
    <w:rsid w:val="00371D3A"/>
    <w:rsid w:val="00371FE1"/>
    <w:rsid w:val="00373F04"/>
    <w:rsid w:val="003746A3"/>
    <w:rsid w:val="00374A17"/>
    <w:rsid w:val="00374AE4"/>
    <w:rsid w:val="00375722"/>
    <w:rsid w:val="00375864"/>
    <w:rsid w:val="00380E95"/>
    <w:rsid w:val="003824B8"/>
    <w:rsid w:val="00384D45"/>
    <w:rsid w:val="003905A8"/>
    <w:rsid w:val="00391B27"/>
    <w:rsid w:val="00394BF8"/>
    <w:rsid w:val="00397D24"/>
    <w:rsid w:val="003A187C"/>
    <w:rsid w:val="003A1964"/>
    <w:rsid w:val="003A2624"/>
    <w:rsid w:val="003A2B97"/>
    <w:rsid w:val="003A425C"/>
    <w:rsid w:val="003A4684"/>
    <w:rsid w:val="003A4ABB"/>
    <w:rsid w:val="003A7F5F"/>
    <w:rsid w:val="003B06B4"/>
    <w:rsid w:val="003B22AC"/>
    <w:rsid w:val="003B2992"/>
    <w:rsid w:val="003B328C"/>
    <w:rsid w:val="003B7386"/>
    <w:rsid w:val="003C016A"/>
    <w:rsid w:val="003C2E9A"/>
    <w:rsid w:val="003C3718"/>
    <w:rsid w:val="003C3DA3"/>
    <w:rsid w:val="003C5FC5"/>
    <w:rsid w:val="003C6425"/>
    <w:rsid w:val="003C7192"/>
    <w:rsid w:val="003D025B"/>
    <w:rsid w:val="003D21DF"/>
    <w:rsid w:val="003D22A4"/>
    <w:rsid w:val="003D2A05"/>
    <w:rsid w:val="003D2FDC"/>
    <w:rsid w:val="003D33C0"/>
    <w:rsid w:val="003D7B3F"/>
    <w:rsid w:val="003D7F0F"/>
    <w:rsid w:val="003E006D"/>
    <w:rsid w:val="003E15D1"/>
    <w:rsid w:val="003E19A6"/>
    <w:rsid w:val="003E5246"/>
    <w:rsid w:val="003E6183"/>
    <w:rsid w:val="003F1EC3"/>
    <w:rsid w:val="003F4118"/>
    <w:rsid w:val="003F6766"/>
    <w:rsid w:val="003F7330"/>
    <w:rsid w:val="00400BAD"/>
    <w:rsid w:val="00401B87"/>
    <w:rsid w:val="004033E5"/>
    <w:rsid w:val="00403B1D"/>
    <w:rsid w:val="00404892"/>
    <w:rsid w:val="004060AC"/>
    <w:rsid w:val="0040776A"/>
    <w:rsid w:val="00410A37"/>
    <w:rsid w:val="004118C6"/>
    <w:rsid w:val="00411D34"/>
    <w:rsid w:val="004123F4"/>
    <w:rsid w:val="00412E60"/>
    <w:rsid w:val="00413395"/>
    <w:rsid w:val="004159B2"/>
    <w:rsid w:val="00417E2E"/>
    <w:rsid w:val="00422316"/>
    <w:rsid w:val="004224BC"/>
    <w:rsid w:val="00423688"/>
    <w:rsid w:val="004247A0"/>
    <w:rsid w:val="00425801"/>
    <w:rsid w:val="0042745A"/>
    <w:rsid w:val="0042778F"/>
    <w:rsid w:val="004345D1"/>
    <w:rsid w:val="004356D5"/>
    <w:rsid w:val="00436BB2"/>
    <w:rsid w:val="0044115A"/>
    <w:rsid w:val="0044115E"/>
    <w:rsid w:val="00441677"/>
    <w:rsid w:val="00443C82"/>
    <w:rsid w:val="00447E8A"/>
    <w:rsid w:val="00450FD5"/>
    <w:rsid w:val="00451E87"/>
    <w:rsid w:val="004523D4"/>
    <w:rsid w:val="00452411"/>
    <w:rsid w:val="00452880"/>
    <w:rsid w:val="0045400B"/>
    <w:rsid w:val="004549CA"/>
    <w:rsid w:val="00455176"/>
    <w:rsid w:val="004554E3"/>
    <w:rsid w:val="004557F3"/>
    <w:rsid w:val="0045734F"/>
    <w:rsid w:val="0046085E"/>
    <w:rsid w:val="004611D5"/>
    <w:rsid w:val="00461DBA"/>
    <w:rsid w:val="00463337"/>
    <w:rsid w:val="00464064"/>
    <w:rsid w:val="004644D8"/>
    <w:rsid w:val="00466E2F"/>
    <w:rsid w:val="00473330"/>
    <w:rsid w:val="0047359E"/>
    <w:rsid w:val="00474745"/>
    <w:rsid w:val="004759E1"/>
    <w:rsid w:val="004812B0"/>
    <w:rsid w:val="004822B3"/>
    <w:rsid w:val="00485EA6"/>
    <w:rsid w:val="00486BEF"/>
    <w:rsid w:val="0048779B"/>
    <w:rsid w:val="0049210C"/>
    <w:rsid w:val="00494986"/>
    <w:rsid w:val="004949A1"/>
    <w:rsid w:val="004952AE"/>
    <w:rsid w:val="0049562E"/>
    <w:rsid w:val="00496C0F"/>
    <w:rsid w:val="00496FD5"/>
    <w:rsid w:val="004A0CD1"/>
    <w:rsid w:val="004A1E37"/>
    <w:rsid w:val="004A4B6C"/>
    <w:rsid w:val="004A52A3"/>
    <w:rsid w:val="004A6CBA"/>
    <w:rsid w:val="004A6E17"/>
    <w:rsid w:val="004B0D0E"/>
    <w:rsid w:val="004B106D"/>
    <w:rsid w:val="004B14A5"/>
    <w:rsid w:val="004B1F5F"/>
    <w:rsid w:val="004B309F"/>
    <w:rsid w:val="004B4529"/>
    <w:rsid w:val="004C2D3C"/>
    <w:rsid w:val="004C4659"/>
    <w:rsid w:val="004C601D"/>
    <w:rsid w:val="004D12D4"/>
    <w:rsid w:val="004D1BE7"/>
    <w:rsid w:val="004D2052"/>
    <w:rsid w:val="004D24AF"/>
    <w:rsid w:val="004D43C8"/>
    <w:rsid w:val="004D521D"/>
    <w:rsid w:val="004D59F4"/>
    <w:rsid w:val="004D5D8F"/>
    <w:rsid w:val="004E16BC"/>
    <w:rsid w:val="004E1D08"/>
    <w:rsid w:val="004E1FDF"/>
    <w:rsid w:val="004E2F11"/>
    <w:rsid w:val="004E2F45"/>
    <w:rsid w:val="004E3735"/>
    <w:rsid w:val="004E4A21"/>
    <w:rsid w:val="004E4C6D"/>
    <w:rsid w:val="004E7043"/>
    <w:rsid w:val="004F0954"/>
    <w:rsid w:val="004F0E81"/>
    <w:rsid w:val="004F1F82"/>
    <w:rsid w:val="004F3A01"/>
    <w:rsid w:val="004F6446"/>
    <w:rsid w:val="004F6B38"/>
    <w:rsid w:val="004F7936"/>
    <w:rsid w:val="0050056E"/>
    <w:rsid w:val="005027E3"/>
    <w:rsid w:val="0050288D"/>
    <w:rsid w:val="005048FF"/>
    <w:rsid w:val="0050569C"/>
    <w:rsid w:val="00507DB8"/>
    <w:rsid w:val="00513439"/>
    <w:rsid w:val="0051408D"/>
    <w:rsid w:val="0051442C"/>
    <w:rsid w:val="00514F14"/>
    <w:rsid w:val="00515344"/>
    <w:rsid w:val="00517F80"/>
    <w:rsid w:val="005201ED"/>
    <w:rsid w:val="0052069F"/>
    <w:rsid w:val="00520CED"/>
    <w:rsid w:val="00521C65"/>
    <w:rsid w:val="005224F6"/>
    <w:rsid w:val="00524B64"/>
    <w:rsid w:val="00524CCA"/>
    <w:rsid w:val="005252C1"/>
    <w:rsid w:val="00525439"/>
    <w:rsid w:val="0052568F"/>
    <w:rsid w:val="00525820"/>
    <w:rsid w:val="00525EFC"/>
    <w:rsid w:val="005261D8"/>
    <w:rsid w:val="0052690F"/>
    <w:rsid w:val="005278A8"/>
    <w:rsid w:val="005278D8"/>
    <w:rsid w:val="00527A27"/>
    <w:rsid w:val="00530F00"/>
    <w:rsid w:val="00531022"/>
    <w:rsid w:val="00531FED"/>
    <w:rsid w:val="00533160"/>
    <w:rsid w:val="005357C1"/>
    <w:rsid w:val="00535A9C"/>
    <w:rsid w:val="0054132D"/>
    <w:rsid w:val="00541C91"/>
    <w:rsid w:val="00541CB4"/>
    <w:rsid w:val="005507E1"/>
    <w:rsid w:val="00552994"/>
    <w:rsid w:val="00553187"/>
    <w:rsid w:val="0055330A"/>
    <w:rsid w:val="005542BE"/>
    <w:rsid w:val="0055607E"/>
    <w:rsid w:val="00560751"/>
    <w:rsid w:val="0056097A"/>
    <w:rsid w:val="00561872"/>
    <w:rsid w:val="00562FA9"/>
    <w:rsid w:val="00563627"/>
    <w:rsid w:val="005639B5"/>
    <w:rsid w:val="00563C60"/>
    <w:rsid w:val="005666B3"/>
    <w:rsid w:val="00566AB5"/>
    <w:rsid w:val="005704B1"/>
    <w:rsid w:val="00570F93"/>
    <w:rsid w:val="0057172A"/>
    <w:rsid w:val="00572177"/>
    <w:rsid w:val="0057218C"/>
    <w:rsid w:val="0057278B"/>
    <w:rsid w:val="00573F05"/>
    <w:rsid w:val="00574C32"/>
    <w:rsid w:val="00574DAF"/>
    <w:rsid w:val="00575CCA"/>
    <w:rsid w:val="0057654F"/>
    <w:rsid w:val="005766C2"/>
    <w:rsid w:val="00580DC8"/>
    <w:rsid w:val="00583689"/>
    <w:rsid w:val="00586362"/>
    <w:rsid w:val="005863B3"/>
    <w:rsid w:val="00587317"/>
    <w:rsid w:val="00587E3B"/>
    <w:rsid w:val="00591FCA"/>
    <w:rsid w:val="00592BD0"/>
    <w:rsid w:val="005946B7"/>
    <w:rsid w:val="00594D7D"/>
    <w:rsid w:val="00596AD3"/>
    <w:rsid w:val="00596DEB"/>
    <w:rsid w:val="0059797F"/>
    <w:rsid w:val="005A1D7C"/>
    <w:rsid w:val="005A2207"/>
    <w:rsid w:val="005A27D7"/>
    <w:rsid w:val="005A37FB"/>
    <w:rsid w:val="005A487D"/>
    <w:rsid w:val="005A5957"/>
    <w:rsid w:val="005A7937"/>
    <w:rsid w:val="005B0C8E"/>
    <w:rsid w:val="005B0D05"/>
    <w:rsid w:val="005B1527"/>
    <w:rsid w:val="005B16D2"/>
    <w:rsid w:val="005B259F"/>
    <w:rsid w:val="005B384A"/>
    <w:rsid w:val="005B3B02"/>
    <w:rsid w:val="005B4A8A"/>
    <w:rsid w:val="005B5CAF"/>
    <w:rsid w:val="005B6154"/>
    <w:rsid w:val="005B6180"/>
    <w:rsid w:val="005C0092"/>
    <w:rsid w:val="005C3922"/>
    <w:rsid w:val="005C4D0B"/>
    <w:rsid w:val="005C5E38"/>
    <w:rsid w:val="005C6AFE"/>
    <w:rsid w:val="005C7642"/>
    <w:rsid w:val="005D0AA4"/>
    <w:rsid w:val="005D25CA"/>
    <w:rsid w:val="005D2FB7"/>
    <w:rsid w:val="005D308C"/>
    <w:rsid w:val="005D347B"/>
    <w:rsid w:val="005D6ADA"/>
    <w:rsid w:val="005E0D4F"/>
    <w:rsid w:val="005E3250"/>
    <w:rsid w:val="005E344D"/>
    <w:rsid w:val="005E42FF"/>
    <w:rsid w:val="005E49DA"/>
    <w:rsid w:val="005E763E"/>
    <w:rsid w:val="005F0879"/>
    <w:rsid w:val="005F2201"/>
    <w:rsid w:val="005F226A"/>
    <w:rsid w:val="005F2793"/>
    <w:rsid w:val="005F3A66"/>
    <w:rsid w:val="00601751"/>
    <w:rsid w:val="00601DE0"/>
    <w:rsid w:val="00603393"/>
    <w:rsid w:val="0060350D"/>
    <w:rsid w:val="00603A7F"/>
    <w:rsid w:val="006050B9"/>
    <w:rsid w:val="006064F0"/>
    <w:rsid w:val="00607BEA"/>
    <w:rsid w:val="00610C20"/>
    <w:rsid w:val="0061109F"/>
    <w:rsid w:val="00611428"/>
    <w:rsid w:val="00616923"/>
    <w:rsid w:val="00616C0B"/>
    <w:rsid w:val="00616D1F"/>
    <w:rsid w:val="006170C4"/>
    <w:rsid w:val="00617FF7"/>
    <w:rsid w:val="00624E16"/>
    <w:rsid w:val="0062641C"/>
    <w:rsid w:val="00633274"/>
    <w:rsid w:val="00633CA7"/>
    <w:rsid w:val="00634226"/>
    <w:rsid w:val="006348B7"/>
    <w:rsid w:val="00636594"/>
    <w:rsid w:val="0064315A"/>
    <w:rsid w:val="00645E21"/>
    <w:rsid w:val="00646DC3"/>
    <w:rsid w:val="00652EA5"/>
    <w:rsid w:val="006625CC"/>
    <w:rsid w:val="00664A67"/>
    <w:rsid w:val="00664D67"/>
    <w:rsid w:val="00666BDA"/>
    <w:rsid w:val="006704BB"/>
    <w:rsid w:val="00671A6C"/>
    <w:rsid w:val="00671D4C"/>
    <w:rsid w:val="0067589E"/>
    <w:rsid w:val="006764B2"/>
    <w:rsid w:val="00676971"/>
    <w:rsid w:val="00677ED3"/>
    <w:rsid w:val="00682493"/>
    <w:rsid w:val="00682FB8"/>
    <w:rsid w:val="006830F9"/>
    <w:rsid w:val="00685B3F"/>
    <w:rsid w:val="006879A2"/>
    <w:rsid w:val="00690FF4"/>
    <w:rsid w:val="0069456E"/>
    <w:rsid w:val="006951D6"/>
    <w:rsid w:val="006A295C"/>
    <w:rsid w:val="006A2DAD"/>
    <w:rsid w:val="006A2ED0"/>
    <w:rsid w:val="006A46DB"/>
    <w:rsid w:val="006A5762"/>
    <w:rsid w:val="006A6A19"/>
    <w:rsid w:val="006B0753"/>
    <w:rsid w:val="006B17DF"/>
    <w:rsid w:val="006B291F"/>
    <w:rsid w:val="006B3597"/>
    <w:rsid w:val="006B40AA"/>
    <w:rsid w:val="006B5931"/>
    <w:rsid w:val="006B7184"/>
    <w:rsid w:val="006B7A46"/>
    <w:rsid w:val="006B7EC2"/>
    <w:rsid w:val="006C2EC7"/>
    <w:rsid w:val="006C35EC"/>
    <w:rsid w:val="006D397E"/>
    <w:rsid w:val="006D39F3"/>
    <w:rsid w:val="006D764F"/>
    <w:rsid w:val="006E02EC"/>
    <w:rsid w:val="006E0D1C"/>
    <w:rsid w:val="006E302F"/>
    <w:rsid w:val="006E3486"/>
    <w:rsid w:val="006E41A7"/>
    <w:rsid w:val="006E7AC6"/>
    <w:rsid w:val="006E7AE9"/>
    <w:rsid w:val="006E7F1A"/>
    <w:rsid w:val="006F19C3"/>
    <w:rsid w:val="006F46DC"/>
    <w:rsid w:val="006F66B3"/>
    <w:rsid w:val="006F7306"/>
    <w:rsid w:val="006F746E"/>
    <w:rsid w:val="006F7DB7"/>
    <w:rsid w:val="007021F2"/>
    <w:rsid w:val="00704EE7"/>
    <w:rsid w:val="00705ACC"/>
    <w:rsid w:val="00705E04"/>
    <w:rsid w:val="00705FCA"/>
    <w:rsid w:val="007060BB"/>
    <w:rsid w:val="00706202"/>
    <w:rsid w:val="007077EC"/>
    <w:rsid w:val="00707B66"/>
    <w:rsid w:val="0071014C"/>
    <w:rsid w:val="00710E45"/>
    <w:rsid w:val="0071138A"/>
    <w:rsid w:val="0071150F"/>
    <w:rsid w:val="00713676"/>
    <w:rsid w:val="00713EF0"/>
    <w:rsid w:val="0071503D"/>
    <w:rsid w:val="007154AA"/>
    <w:rsid w:val="007162E3"/>
    <w:rsid w:val="007173E7"/>
    <w:rsid w:val="0072087D"/>
    <w:rsid w:val="00720E01"/>
    <w:rsid w:val="0072215A"/>
    <w:rsid w:val="007238FC"/>
    <w:rsid w:val="0072732C"/>
    <w:rsid w:val="007303BB"/>
    <w:rsid w:val="00733344"/>
    <w:rsid w:val="00733365"/>
    <w:rsid w:val="0073407E"/>
    <w:rsid w:val="00734277"/>
    <w:rsid w:val="00734C4F"/>
    <w:rsid w:val="00735623"/>
    <w:rsid w:val="007371F7"/>
    <w:rsid w:val="00737BA0"/>
    <w:rsid w:val="00740BA2"/>
    <w:rsid w:val="00742BB4"/>
    <w:rsid w:val="00743E54"/>
    <w:rsid w:val="00744884"/>
    <w:rsid w:val="00746A3D"/>
    <w:rsid w:val="00746ABF"/>
    <w:rsid w:val="007516EA"/>
    <w:rsid w:val="00754B74"/>
    <w:rsid w:val="00755E33"/>
    <w:rsid w:val="007564A8"/>
    <w:rsid w:val="007576B9"/>
    <w:rsid w:val="007669B8"/>
    <w:rsid w:val="00766DE2"/>
    <w:rsid w:val="007735D1"/>
    <w:rsid w:val="0077608B"/>
    <w:rsid w:val="00780AC2"/>
    <w:rsid w:val="007832B2"/>
    <w:rsid w:val="007844EF"/>
    <w:rsid w:val="007849BC"/>
    <w:rsid w:val="00785945"/>
    <w:rsid w:val="00787417"/>
    <w:rsid w:val="0078774B"/>
    <w:rsid w:val="00790665"/>
    <w:rsid w:val="007918BE"/>
    <w:rsid w:val="007930CE"/>
    <w:rsid w:val="007937FB"/>
    <w:rsid w:val="00794796"/>
    <w:rsid w:val="00796ECD"/>
    <w:rsid w:val="0079751F"/>
    <w:rsid w:val="00797C24"/>
    <w:rsid w:val="00797D7E"/>
    <w:rsid w:val="007A02D4"/>
    <w:rsid w:val="007A036C"/>
    <w:rsid w:val="007A0D9F"/>
    <w:rsid w:val="007A13BC"/>
    <w:rsid w:val="007A20AB"/>
    <w:rsid w:val="007A2A37"/>
    <w:rsid w:val="007A384B"/>
    <w:rsid w:val="007A4180"/>
    <w:rsid w:val="007A5176"/>
    <w:rsid w:val="007A5554"/>
    <w:rsid w:val="007A5899"/>
    <w:rsid w:val="007A5DE7"/>
    <w:rsid w:val="007A60E4"/>
    <w:rsid w:val="007A60E6"/>
    <w:rsid w:val="007A6621"/>
    <w:rsid w:val="007A6FB1"/>
    <w:rsid w:val="007A7E16"/>
    <w:rsid w:val="007B07DD"/>
    <w:rsid w:val="007B25F8"/>
    <w:rsid w:val="007B565E"/>
    <w:rsid w:val="007B57A6"/>
    <w:rsid w:val="007B5A9F"/>
    <w:rsid w:val="007B5DCE"/>
    <w:rsid w:val="007B5FD0"/>
    <w:rsid w:val="007B71CD"/>
    <w:rsid w:val="007C042D"/>
    <w:rsid w:val="007C0A96"/>
    <w:rsid w:val="007C1A30"/>
    <w:rsid w:val="007C6989"/>
    <w:rsid w:val="007C6EB4"/>
    <w:rsid w:val="007C6EE9"/>
    <w:rsid w:val="007D008B"/>
    <w:rsid w:val="007D1750"/>
    <w:rsid w:val="007D1A01"/>
    <w:rsid w:val="007D3F4A"/>
    <w:rsid w:val="007D47EF"/>
    <w:rsid w:val="007D4E20"/>
    <w:rsid w:val="007D5482"/>
    <w:rsid w:val="007D73B4"/>
    <w:rsid w:val="007E05FF"/>
    <w:rsid w:val="007E17EB"/>
    <w:rsid w:val="007E1BB8"/>
    <w:rsid w:val="007E44CE"/>
    <w:rsid w:val="007E6A90"/>
    <w:rsid w:val="007E6F8A"/>
    <w:rsid w:val="007F128F"/>
    <w:rsid w:val="007F3261"/>
    <w:rsid w:val="007F3E16"/>
    <w:rsid w:val="007F49A2"/>
    <w:rsid w:val="007F7531"/>
    <w:rsid w:val="007F76A7"/>
    <w:rsid w:val="00800847"/>
    <w:rsid w:val="008017B8"/>
    <w:rsid w:val="008019A7"/>
    <w:rsid w:val="00804252"/>
    <w:rsid w:val="00805411"/>
    <w:rsid w:val="008056F9"/>
    <w:rsid w:val="008063A6"/>
    <w:rsid w:val="00806D54"/>
    <w:rsid w:val="00807BEE"/>
    <w:rsid w:val="008100A4"/>
    <w:rsid w:val="008111EB"/>
    <w:rsid w:val="00813A6B"/>
    <w:rsid w:val="008165CB"/>
    <w:rsid w:val="00817C8F"/>
    <w:rsid w:val="00817D3E"/>
    <w:rsid w:val="00817E1E"/>
    <w:rsid w:val="0082752E"/>
    <w:rsid w:val="00832E28"/>
    <w:rsid w:val="00834311"/>
    <w:rsid w:val="00835379"/>
    <w:rsid w:val="00840951"/>
    <w:rsid w:val="00840B51"/>
    <w:rsid w:val="008418B0"/>
    <w:rsid w:val="00845377"/>
    <w:rsid w:val="00845DE9"/>
    <w:rsid w:val="00845F13"/>
    <w:rsid w:val="00845FEF"/>
    <w:rsid w:val="008467F2"/>
    <w:rsid w:val="008475AD"/>
    <w:rsid w:val="008478F5"/>
    <w:rsid w:val="008525D3"/>
    <w:rsid w:val="00852745"/>
    <w:rsid w:val="00852C01"/>
    <w:rsid w:val="00855E1C"/>
    <w:rsid w:val="00857149"/>
    <w:rsid w:val="0085744D"/>
    <w:rsid w:val="00860517"/>
    <w:rsid w:val="00860D1D"/>
    <w:rsid w:val="00861B2E"/>
    <w:rsid w:val="0086268A"/>
    <w:rsid w:val="00862B7F"/>
    <w:rsid w:val="00863112"/>
    <w:rsid w:val="00863505"/>
    <w:rsid w:val="00864714"/>
    <w:rsid w:val="008654C1"/>
    <w:rsid w:val="00865F70"/>
    <w:rsid w:val="008700BD"/>
    <w:rsid w:val="008704C1"/>
    <w:rsid w:val="0087102B"/>
    <w:rsid w:val="008744EC"/>
    <w:rsid w:val="00874577"/>
    <w:rsid w:val="00874A24"/>
    <w:rsid w:val="00876BC5"/>
    <w:rsid w:val="00876EF3"/>
    <w:rsid w:val="00880094"/>
    <w:rsid w:val="00880D51"/>
    <w:rsid w:val="00883E26"/>
    <w:rsid w:val="00886481"/>
    <w:rsid w:val="00886B34"/>
    <w:rsid w:val="00892D77"/>
    <w:rsid w:val="008960FE"/>
    <w:rsid w:val="00897D77"/>
    <w:rsid w:val="008A3867"/>
    <w:rsid w:val="008A585F"/>
    <w:rsid w:val="008A5F40"/>
    <w:rsid w:val="008A6391"/>
    <w:rsid w:val="008A6630"/>
    <w:rsid w:val="008A712D"/>
    <w:rsid w:val="008B005E"/>
    <w:rsid w:val="008B18E1"/>
    <w:rsid w:val="008B2608"/>
    <w:rsid w:val="008B3741"/>
    <w:rsid w:val="008B5148"/>
    <w:rsid w:val="008B7312"/>
    <w:rsid w:val="008B78DE"/>
    <w:rsid w:val="008C05F7"/>
    <w:rsid w:val="008C1C82"/>
    <w:rsid w:val="008C1F7A"/>
    <w:rsid w:val="008C54C1"/>
    <w:rsid w:val="008C5B38"/>
    <w:rsid w:val="008C6931"/>
    <w:rsid w:val="008C6FAA"/>
    <w:rsid w:val="008D00A3"/>
    <w:rsid w:val="008D1485"/>
    <w:rsid w:val="008D1B21"/>
    <w:rsid w:val="008D53C4"/>
    <w:rsid w:val="008D619B"/>
    <w:rsid w:val="008D7DC5"/>
    <w:rsid w:val="008E0F32"/>
    <w:rsid w:val="008E29DE"/>
    <w:rsid w:val="008E339A"/>
    <w:rsid w:val="008E4CA9"/>
    <w:rsid w:val="008E68BA"/>
    <w:rsid w:val="008E7F97"/>
    <w:rsid w:val="008F1E7E"/>
    <w:rsid w:val="008F245C"/>
    <w:rsid w:val="008F4BC7"/>
    <w:rsid w:val="008F5AC4"/>
    <w:rsid w:val="008F6921"/>
    <w:rsid w:val="009043A5"/>
    <w:rsid w:val="0090759B"/>
    <w:rsid w:val="00910AD3"/>
    <w:rsid w:val="00911A48"/>
    <w:rsid w:val="00912F15"/>
    <w:rsid w:val="00915561"/>
    <w:rsid w:val="00915575"/>
    <w:rsid w:val="00916378"/>
    <w:rsid w:val="00920464"/>
    <w:rsid w:val="00920FA0"/>
    <w:rsid w:val="00921A06"/>
    <w:rsid w:val="00921A3A"/>
    <w:rsid w:val="00922080"/>
    <w:rsid w:val="009221D8"/>
    <w:rsid w:val="009229F6"/>
    <w:rsid w:val="00922D7B"/>
    <w:rsid w:val="009240FE"/>
    <w:rsid w:val="00925119"/>
    <w:rsid w:val="00925473"/>
    <w:rsid w:val="009310AE"/>
    <w:rsid w:val="009325BB"/>
    <w:rsid w:val="00933FDE"/>
    <w:rsid w:val="00934750"/>
    <w:rsid w:val="009357AF"/>
    <w:rsid w:val="00936683"/>
    <w:rsid w:val="00940452"/>
    <w:rsid w:val="009409FD"/>
    <w:rsid w:val="00943769"/>
    <w:rsid w:val="009513FD"/>
    <w:rsid w:val="00952636"/>
    <w:rsid w:val="0095385D"/>
    <w:rsid w:val="00954362"/>
    <w:rsid w:val="0095531F"/>
    <w:rsid w:val="00956BE9"/>
    <w:rsid w:val="00956E80"/>
    <w:rsid w:val="00957F17"/>
    <w:rsid w:val="009601CB"/>
    <w:rsid w:val="00960908"/>
    <w:rsid w:val="009642AB"/>
    <w:rsid w:val="0096610F"/>
    <w:rsid w:val="00970773"/>
    <w:rsid w:val="0097134A"/>
    <w:rsid w:val="009718F8"/>
    <w:rsid w:val="009743FD"/>
    <w:rsid w:val="00976783"/>
    <w:rsid w:val="00980D36"/>
    <w:rsid w:val="00981423"/>
    <w:rsid w:val="009818EC"/>
    <w:rsid w:val="00982140"/>
    <w:rsid w:val="009823E0"/>
    <w:rsid w:val="0098739B"/>
    <w:rsid w:val="009874D4"/>
    <w:rsid w:val="00987D5B"/>
    <w:rsid w:val="00991F47"/>
    <w:rsid w:val="009934A5"/>
    <w:rsid w:val="00996399"/>
    <w:rsid w:val="009A2B83"/>
    <w:rsid w:val="009A505A"/>
    <w:rsid w:val="009A71CB"/>
    <w:rsid w:val="009A7F5C"/>
    <w:rsid w:val="009B3100"/>
    <w:rsid w:val="009B37AC"/>
    <w:rsid w:val="009B49AC"/>
    <w:rsid w:val="009B4BEE"/>
    <w:rsid w:val="009B6DA4"/>
    <w:rsid w:val="009B7515"/>
    <w:rsid w:val="009C2721"/>
    <w:rsid w:val="009C64CD"/>
    <w:rsid w:val="009C77B6"/>
    <w:rsid w:val="009D1087"/>
    <w:rsid w:val="009D1399"/>
    <w:rsid w:val="009D149E"/>
    <w:rsid w:val="009D36F8"/>
    <w:rsid w:val="009D5F87"/>
    <w:rsid w:val="009D69AB"/>
    <w:rsid w:val="009D75A1"/>
    <w:rsid w:val="009E1595"/>
    <w:rsid w:val="009E1D9D"/>
    <w:rsid w:val="009E2225"/>
    <w:rsid w:val="009E307C"/>
    <w:rsid w:val="009E31CE"/>
    <w:rsid w:val="009E3666"/>
    <w:rsid w:val="009E5079"/>
    <w:rsid w:val="009E64B6"/>
    <w:rsid w:val="009E6B6B"/>
    <w:rsid w:val="009E6E0F"/>
    <w:rsid w:val="009E6EFE"/>
    <w:rsid w:val="009F14D6"/>
    <w:rsid w:val="00A014D7"/>
    <w:rsid w:val="00A03835"/>
    <w:rsid w:val="00A05EBE"/>
    <w:rsid w:val="00A060A9"/>
    <w:rsid w:val="00A133E0"/>
    <w:rsid w:val="00A134CA"/>
    <w:rsid w:val="00A17926"/>
    <w:rsid w:val="00A2171D"/>
    <w:rsid w:val="00A22627"/>
    <w:rsid w:val="00A2487B"/>
    <w:rsid w:val="00A24ADA"/>
    <w:rsid w:val="00A26481"/>
    <w:rsid w:val="00A30570"/>
    <w:rsid w:val="00A3078D"/>
    <w:rsid w:val="00A31F9B"/>
    <w:rsid w:val="00A332C7"/>
    <w:rsid w:val="00A3431F"/>
    <w:rsid w:val="00A36B19"/>
    <w:rsid w:val="00A41D3D"/>
    <w:rsid w:val="00A41FCE"/>
    <w:rsid w:val="00A42212"/>
    <w:rsid w:val="00A42323"/>
    <w:rsid w:val="00A42767"/>
    <w:rsid w:val="00A43721"/>
    <w:rsid w:val="00A46ED6"/>
    <w:rsid w:val="00A51FC7"/>
    <w:rsid w:val="00A52A49"/>
    <w:rsid w:val="00A53F5A"/>
    <w:rsid w:val="00A541E9"/>
    <w:rsid w:val="00A5428F"/>
    <w:rsid w:val="00A55387"/>
    <w:rsid w:val="00A55999"/>
    <w:rsid w:val="00A57B01"/>
    <w:rsid w:val="00A6119B"/>
    <w:rsid w:val="00A61B40"/>
    <w:rsid w:val="00A620CE"/>
    <w:rsid w:val="00A638C4"/>
    <w:rsid w:val="00A63D36"/>
    <w:rsid w:val="00A646E9"/>
    <w:rsid w:val="00A65877"/>
    <w:rsid w:val="00A67055"/>
    <w:rsid w:val="00A67B0C"/>
    <w:rsid w:val="00A67F4A"/>
    <w:rsid w:val="00A70ACA"/>
    <w:rsid w:val="00A70C1A"/>
    <w:rsid w:val="00A7103D"/>
    <w:rsid w:val="00A73A23"/>
    <w:rsid w:val="00A74363"/>
    <w:rsid w:val="00A760F0"/>
    <w:rsid w:val="00A77974"/>
    <w:rsid w:val="00A80712"/>
    <w:rsid w:val="00A82221"/>
    <w:rsid w:val="00A82D74"/>
    <w:rsid w:val="00A83A8B"/>
    <w:rsid w:val="00A85DFF"/>
    <w:rsid w:val="00A86BB1"/>
    <w:rsid w:val="00A875BA"/>
    <w:rsid w:val="00A87611"/>
    <w:rsid w:val="00A8773C"/>
    <w:rsid w:val="00A87789"/>
    <w:rsid w:val="00A9009E"/>
    <w:rsid w:val="00A900CB"/>
    <w:rsid w:val="00A90219"/>
    <w:rsid w:val="00A904BC"/>
    <w:rsid w:val="00A91779"/>
    <w:rsid w:val="00A9301C"/>
    <w:rsid w:val="00A93C0C"/>
    <w:rsid w:val="00A95988"/>
    <w:rsid w:val="00A96370"/>
    <w:rsid w:val="00A97945"/>
    <w:rsid w:val="00AA3542"/>
    <w:rsid w:val="00AA4DFC"/>
    <w:rsid w:val="00AA598C"/>
    <w:rsid w:val="00AA5E3C"/>
    <w:rsid w:val="00AA6518"/>
    <w:rsid w:val="00AA6CFC"/>
    <w:rsid w:val="00AB0887"/>
    <w:rsid w:val="00AB0A52"/>
    <w:rsid w:val="00AB41CC"/>
    <w:rsid w:val="00AB7439"/>
    <w:rsid w:val="00AB76AC"/>
    <w:rsid w:val="00AB79BB"/>
    <w:rsid w:val="00AB7E57"/>
    <w:rsid w:val="00AC10BE"/>
    <w:rsid w:val="00AD2406"/>
    <w:rsid w:val="00AD2706"/>
    <w:rsid w:val="00AD3667"/>
    <w:rsid w:val="00AD6213"/>
    <w:rsid w:val="00AD73D9"/>
    <w:rsid w:val="00AD7C1A"/>
    <w:rsid w:val="00AE0912"/>
    <w:rsid w:val="00AE657D"/>
    <w:rsid w:val="00AE73C0"/>
    <w:rsid w:val="00AF40C6"/>
    <w:rsid w:val="00AF4944"/>
    <w:rsid w:val="00AF601D"/>
    <w:rsid w:val="00AF798D"/>
    <w:rsid w:val="00B00889"/>
    <w:rsid w:val="00B01823"/>
    <w:rsid w:val="00B01E2E"/>
    <w:rsid w:val="00B02031"/>
    <w:rsid w:val="00B020AE"/>
    <w:rsid w:val="00B02507"/>
    <w:rsid w:val="00B027E7"/>
    <w:rsid w:val="00B106AD"/>
    <w:rsid w:val="00B10960"/>
    <w:rsid w:val="00B12954"/>
    <w:rsid w:val="00B13270"/>
    <w:rsid w:val="00B14805"/>
    <w:rsid w:val="00B14A40"/>
    <w:rsid w:val="00B15CC5"/>
    <w:rsid w:val="00B16285"/>
    <w:rsid w:val="00B17B84"/>
    <w:rsid w:val="00B206C5"/>
    <w:rsid w:val="00B22ACB"/>
    <w:rsid w:val="00B22CC1"/>
    <w:rsid w:val="00B22CEE"/>
    <w:rsid w:val="00B238C9"/>
    <w:rsid w:val="00B2434A"/>
    <w:rsid w:val="00B246DB"/>
    <w:rsid w:val="00B25246"/>
    <w:rsid w:val="00B25E00"/>
    <w:rsid w:val="00B2653E"/>
    <w:rsid w:val="00B26B6F"/>
    <w:rsid w:val="00B27807"/>
    <w:rsid w:val="00B30244"/>
    <w:rsid w:val="00B3032D"/>
    <w:rsid w:val="00B308E7"/>
    <w:rsid w:val="00B324EA"/>
    <w:rsid w:val="00B35F26"/>
    <w:rsid w:val="00B36A78"/>
    <w:rsid w:val="00B41643"/>
    <w:rsid w:val="00B41665"/>
    <w:rsid w:val="00B41BBB"/>
    <w:rsid w:val="00B422B3"/>
    <w:rsid w:val="00B44C2B"/>
    <w:rsid w:val="00B46A39"/>
    <w:rsid w:val="00B46F5F"/>
    <w:rsid w:val="00B47AB4"/>
    <w:rsid w:val="00B505A2"/>
    <w:rsid w:val="00B50BCB"/>
    <w:rsid w:val="00B50C6D"/>
    <w:rsid w:val="00B523C2"/>
    <w:rsid w:val="00B52837"/>
    <w:rsid w:val="00B5513C"/>
    <w:rsid w:val="00B555AB"/>
    <w:rsid w:val="00B564E9"/>
    <w:rsid w:val="00B605EC"/>
    <w:rsid w:val="00B6087A"/>
    <w:rsid w:val="00B62931"/>
    <w:rsid w:val="00B637AA"/>
    <w:rsid w:val="00B63D8F"/>
    <w:rsid w:val="00B6444F"/>
    <w:rsid w:val="00B65533"/>
    <w:rsid w:val="00B65C71"/>
    <w:rsid w:val="00B67171"/>
    <w:rsid w:val="00B700C4"/>
    <w:rsid w:val="00B70B5A"/>
    <w:rsid w:val="00B710F5"/>
    <w:rsid w:val="00B74B60"/>
    <w:rsid w:val="00B76936"/>
    <w:rsid w:val="00B822CC"/>
    <w:rsid w:val="00B82D7B"/>
    <w:rsid w:val="00B84677"/>
    <w:rsid w:val="00B8657E"/>
    <w:rsid w:val="00B944A0"/>
    <w:rsid w:val="00BA31F8"/>
    <w:rsid w:val="00BB171E"/>
    <w:rsid w:val="00BB39D2"/>
    <w:rsid w:val="00BB3A13"/>
    <w:rsid w:val="00BB3DFC"/>
    <w:rsid w:val="00BB5595"/>
    <w:rsid w:val="00BB7574"/>
    <w:rsid w:val="00BB79BD"/>
    <w:rsid w:val="00BC0061"/>
    <w:rsid w:val="00BC103E"/>
    <w:rsid w:val="00BC2014"/>
    <w:rsid w:val="00BC3C64"/>
    <w:rsid w:val="00BC3EBE"/>
    <w:rsid w:val="00BC59BD"/>
    <w:rsid w:val="00BC68F6"/>
    <w:rsid w:val="00BD2381"/>
    <w:rsid w:val="00BD492D"/>
    <w:rsid w:val="00BD5181"/>
    <w:rsid w:val="00BD752E"/>
    <w:rsid w:val="00BD7550"/>
    <w:rsid w:val="00BE09DA"/>
    <w:rsid w:val="00BE1546"/>
    <w:rsid w:val="00BE24EE"/>
    <w:rsid w:val="00BE2F16"/>
    <w:rsid w:val="00BE457F"/>
    <w:rsid w:val="00BE604C"/>
    <w:rsid w:val="00BE67DD"/>
    <w:rsid w:val="00BE7BF6"/>
    <w:rsid w:val="00BF149E"/>
    <w:rsid w:val="00BF1701"/>
    <w:rsid w:val="00BF5CAB"/>
    <w:rsid w:val="00BF71AF"/>
    <w:rsid w:val="00BF7391"/>
    <w:rsid w:val="00C01E6F"/>
    <w:rsid w:val="00C03E04"/>
    <w:rsid w:val="00C06374"/>
    <w:rsid w:val="00C113D8"/>
    <w:rsid w:val="00C143C2"/>
    <w:rsid w:val="00C1575C"/>
    <w:rsid w:val="00C201E1"/>
    <w:rsid w:val="00C21CEC"/>
    <w:rsid w:val="00C23A59"/>
    <w:rsid w:val="00C24D77"/>
    <w:rsid w:val="00C24FA8"/>
    <w:rsid w:val="00C2625B"/>
    <w:rsid w:val="00C30149"/>
    <w:rsid w:val="00C30655"/>
    <w:rsid w:val="00C32B5B"/>
    <w:rsid w:val="00C3308C"/>
    <w:rsid w:val="00C36904"/>
    <w:rsid w:val="00C40C89"/>
    <w:rsid w:val="00C4121E"/>
    <w:rsid w:val="00C417E7"/>
    <w:rsid w:val="00C41E30"/>
    <w:rsid w:val="00C43F5F"/>
    <w:rsid w:val="00C446AF"/>
    <w:rsid w:val="00C45E1F"/>
    <w:rsid w:val="00C45FC0"/>
    <w:rsid w:val="00C46509"/>
    <w:rsid w:val="00C465B8"/>
    <w:rsid w:val="00C46D7E"/>
    <w:rsid w:val="00C50E15"/>
    <w:rsid w:val="00C5347D"/>
    <w:rsid w:val="00C53C5C"/>
    <w:rsid w:val="00C5450E"/>
    <w:rsid w:val="00C54EA3"/>
    <w:rsid w:val="00C551C0"/>
    <w:rsid w:val="00C55385"/>
    <w:rsid w:val="00C568CB"/>
    <w:rsid w:val="00C57101"/>
    <w:rsid w:val="00C57929"/>
    <w:rsid w:val="00C63399"/>
    <w:rsid w:val="00C644B9"/>
    <w:rsid w:val="00C64FA6"/>
    <w:rsid w:val="00C6529D"/>
    <w:rsid w:val="00C65C63"/>
    <w:rsid w:val="00C66E98"/>
    <w:rsid w:val="00C7447E"/>
    <w:rsid w:val="00C74A9F"/>
    <w:rsid w:val="00C74F51"/>
    <w:rsid w:val="00C75B2A"/>
    <w:rsid w:val="00C762D1"/>
    <w:rsid w:val="00C762E2"/>
    <w:rsid w:val="00C7667A"/>
    <w:rsid w:val="00C77792"/>
    <w:rsid w:val="00C818F8"/>
    <w:rsid w:val="00C83619"/>
    <w:rsid w:val="00C83731"/>
    <w:rsid w:val="00C839B3"/>
    <w:rsid w:val="00C84BB4"/>
    <w:rsid w:val="00C8509B"/>
    <w:rsid w:val="00C87909"/>
    <w:rsid w:val="00C91A19"/>
    <w:rsid w:val="00C92827"/>
    <w:rsid w:val="00C94E41"/>
    <w:rsid w:val="00C963B6"/>
    <w:rsid w:val="00CA00BF"/>
    <w:rsid w:val="00CA049F"/>
    <w:rsid w:val="00CA0780"/>
    <w:rsid w:val="00CA52EA"/>
    <w:rsid w:val="00CA55AE"/>
    <w:rsid w:val="00CA642B"/>
    <w:rsid w:val="00CA71A7"/>
    <w:rsid w:val="00CA7AAD"/>
    <w:rsid w:val="00CB1970"/>
    <w:rsid w:val="00CB314C"/>
    <w:rsid w:val="00CB4CD5"/>
    <w:rsid w:val="00CB5E1A"/>
    <w:rsid w:val="00CB6112"/>
    <w:rsid w:val="00CC13E8"/>
    <w:rsid w:val="00CC42DD"/>
    <w:rsid w:val="00CC46AF"/>
    <w:rsid w:val="00CC47E3"/>
    <w:rsid w:val="00CC598D"/>
    <w:rsid w:val="00CC5AA0"/>
    <w:rsid w:val="00CC688A"/>
    <w:rsid w:val="00CC7A80"/>
    <w:rsid w:val="00CD2FE0"/>
    <w:rsid w:val="00CD6984"/>
    <w:rsid w:val="00CD7AC6"/>
    <w:rsid w:val="00CE3895"/>
    <w:rsid w:val="00CE5037"/>
    <w:rsid w:val="00CE57E2"/>
    <w:rsid w:val="00CE7342"/>
    <w:rsid w:val="00CF0A26"/>
    <w:rsid w:val="00CF2850"/>
    <w:rsid w:val="00CF29D1"/>
    <w:rsid w:val="00CF6489"/>
    <w:rsid w:val="00CF6E93"/>
    <w:rsid w:val="00D005F5"/>
    <w:rsid w:val="00D017BC"/>
    <w:rsid w:val="00D0285D"/>
    <w:rsid w:val="00D04A22"/>
    <w:rsid w:val="00D05135"/>
    <w:rsid w:val="00D063A7"/>
    <w:rsid w:val="00D07D47"/>
    <w:rsid w:val="00D10487"/>
    <w:rsid w:val="00D104AF"/>
    <w:rsid w:val="00D1079F"/>
    <w:rsid w:val="00D13A40"/>
    <w:rsid w:val="00D13CEF"/>
    <w:rsid w:val="00D15BCE"/>
    <w:rsid w:val="00D20673"/>
    <w:rsid w:val="00D20ACA"/>
    <w:rsid w:val="00D20BE7"/>
    <w:rsid w:val="00D22B88"/>
    <w:rsid w:val="00D273CC"/>
    <w:rsid w:val="00D27D42"/>
    <w:rsid w:val="00D32B02"/>
    <w:rsid w:val="00D352C6"/>
    <w:rsid w:val="00D35AE9"/>
    <w:rsid w:val="00D36B74"/>
    <w:rsid w:val="00D37DA3"/>
    <w:rsid w:val="00D40845"/>
    <w:rsid w:val="00D40D76"/>
    <w:rsid w:val="00D416B3"/>
    <w:rsid w:val="00D41DB6"/>
    <w:rsid w:val="00D429FC"/>
    <w:rsid w:val="00D429FE"/>
    <w:rsid w:val="00D43824"/>
    <w:rsid w:val="00D5176E"/>
    <w:rsid w:val="00D52E5C"/>
    <w:rsid w:val="00D53779"/>
    <w:rsid w:val="00D53A07"/>
    <w:rsid w:val="00D54668"/>
    <w:rsid w:val="00D55138"/>
    <w:rsid w:val="00D55BDF"/>
    <w:rsid w:val="00D60B0E"/>
    <w:rsid w:val="00D628CA"/>
    <w:rsid w:val="00D66DE5"/>
    <w:rsid w:val="00D72096"/>
    <w:rsid w:val="00D72307"/>
    <w:rsid w:val="00D7237F"/>
    <w:rsid w:val="00D73738"/>
    <w:rsid w:val="00D73999"/>
    <w:rsid w:val="00D7499C"/>
    <w:rsid w:val="00D76B52"/>
    <w:rsid w:val="00D80077"/>
    <w:rsid w:val="00D811A0"/>
    <w:rsid w:val="00D8195F"/>
    <w:rsid w:val="00D82F31"/>
    <w:rsid w:val="00D83089"/>
    <w:rsid w:val="00D833DB"/>
    <w:rsid w:val="00D837F5"/>
    <w:rsid w:val="00D84513"/>
    <w:rsid w:val="00D84615"/>
    <w:rsid w:val="00D861A9"/>
    <w:rsid w:val="00D86D96"/>
    <w:rsid w:val="00D95E08"/>
    <w:rsid w:val="00D9665F"/>
    <w:rsid w:val="00D97A2B"/>
    <w:rsid w:val="00DA13D1"/>
    <w:rsid w:val="00DA184E"/>
    <w:rsid w:val="00DA3027"/>
    <w:rsid w:val="00DA52F8"/>
    <w:rsid w:val="00DA6003"/>
    <w:rsid w:val="00DB115B"/>
    <w:rsid w:val="00DB153D"/>
    <w:rsid w:val="00DB2D6E"/>
    <w:rsid w:val="00DB552B"/>
    <w:rsid w:val="00DB6337"/>
    <w:rsid w:val="00DB6ECE"/>
    <w:rsid w:val="00DC015D"/>
    <w:rsid w:val="00DC11AB"/>
    <w:rsid w:val="00DC1BF9"/>
    <w:rsid w:val="00DC3FBE"/>
    <w:rsid w:val="00DC4AFF"/>
    <w:rsid w:val="00DC5553"/>
    <w:rsid w:val="00DD515D"/>
    <w:rsid w:val="00DD5EBB"/>
    <w:rsid w:val="00DE1BEE"/>
    <w:rsid w:val="00DE2FE8"/>
    <w:rsid w:val="00DE437B"/>
    <w:rsid w:val="00DE48D7"/>
    <w:rsid w:val="00DE4912"/>
    <w:rsid w:val="00DE51FE"/>
    <w:rsid w:val="00DE53E7"/>
    <w:rsid w:val="00DE5DB7"/>
    <w:rsid w:val="00DE7E6B"/>
    <w:rsid w:val="00DF0150"/>
    <w:rsid w:val="00DF209E"/>
    <w:rsid w:val="00DF280C"/>
    <w:rsid w:val="00DF2819"/>
    <w:rsid w:val="00DF5225"/>
    <w:rsid w:val="00DF59CA"/>
    <w:rsid w:val="00DF79F4"/>
    <w:rsid w:val="00DF7F09"/>
    <w:rsid w:val="00E00F40"/>
    <w:rsid w:val="00E010E5"/>
    <w:rsid w:val="00E02613"/>
    <w:rsid w:val="00E02DB0"/>
    <w:rsid w:val="00E03A66"/>
    <w:rsid w:val="00E06068"/>
    <w:rsid w:val="00E07212"/>
    <w:rsid w:val="00E10F79"/>
    <w:rsid w:val="00E128F7"/>
    <w:rsid w:val="00E131FE"/>
    <w:rsid w:val="00E133D4"/>
    <w:rsid w:val="00E14DB8"/>
    <w:rsid w:val="00E15C13"/>
    <w:rsid w:val="00E16E10"/>
    <w:rsid w:val="00E17234"/>
    <w:rsid w:val="00E17834"/>
    <w:rsid w:val="00E20626"/>
    <w:rsid w:val="00E209B6"/>
    <w:rsid w:val="00E20D9D"/>
    <w:rsid w:val="00E21262"/>
    <w:rsid w:val="00E2137F"/>
    <w:rsid w:val="00E2320F"/>
    <w:rsid w:val="00E23465"/>
    <w:rsid w:val="00E2467A"/>
    <w:rsid w:val="00E24CEA"/>
    <w:rsid w:val="00E25CAF"/>
    <w:rsid w:val="00E265FC"/>
    <w:rsid w:val="00E276F7"/>
    <w:rsid w:val="00E30683"/>
    <w:rsid w:val="00E310B6"/>
    <w:rsid w:val="00E31F7E"/>
    <w:rsid w:val="00E32127"/>
    <w:rsid w:val="00E326DB"/>
    <w:rsid w:val="00E33A43"/>
    <w:rsid w:val="00E3675A"/>
    <w:rsid w:val="00E41868"/>
    <w:rsid w:val="00E418AA"/>
    <w:rsid w:val="00E4209E"/>
    <w:rsid w:val="00E4587A"/>
    <w:rsid w:val="00E53047"/>
    <w:rsid w:val="00E578DF"/>
    <w:rsid w:val="00E57D12"/>
    <w:rsid w:val="00E610E8"/>
    <w:rsid w:val="00E61204"/>
    <w:rsid w:val="00E61649"/>
    <w:rsid w:val="00E61B7E"/>
    <w:rsid w:val="00E65022"/>
    <w:rsid w:val="00E66996"/>
    <w:rsid w:val="00E721F0"/>
    <w:rsid w:val="00E72593"/>
    <w:rsid w:val="00E726FD"/>
    <w:rsid w:val="00E72AEC"/>
    <w:rsid w:val="00E74287"/>
    <w:rsid w:val="00E74C6B"/>
    <w:rsid w:val="00E77B80"/>
    <w:rsid w:val="00E77E89"/>
    <w:rsid w:val="00E80033"/>
    <w:rsid w:val="00E80111"/>
    <w:rsid w:val="00E8074A"/>
    <w:rsid w:val="00E807AA"/>
    <w:rsid w:val="00E81BFB"/>
    <w:rsid w:val="00E82893"/>
    <w:rsid w:val="00E847D7"/>
    <w:rsid w:val="00E85BB4"/>
    <w:rsid w:val="00E90C48"/>
    <w:rsid w:val="00E90CEE"/>
    <w:rsid w:val="00E93196"/>
    <w:rsid w:val="00E9440C"/>
    <w:rsid w:val="00E955A2"/>
    <w:rsid w:val="00E95614"/>
    <w:rsid w:val="00E964CD"/>
    <w:rsid w:val="00E96F32"/>
    <w:rsid w:val="00E9739A"/>
    <w:rsid w:val="00EA259A"/>
    <w:rsid w:val="00EA5E89"/>
    <w:rsid w:val="00EA64C9"/>
    <w:rsid w:val="00EA6A2F"/>
    <w:rsid w:val="00EB36D4"/>
    <w:rsid w:val="00EB3BAF"/>
    <w:rsid w:val="00EB4FDF"/>
    <w:rsid w:val="00EB4FFC"/>
    <w:rsid w:val="00EB73AF"/>
    <w:rsid w:val="00EB7476"/>
    <w:rsid w:val="00EB7C84"/>
    <w:rsid w:val="00EC1C1D"/>
    <w:rsid w:val="00EC2B23"/>
    <w:rsid w:val="00EC467F"/>
    <w:rsid w:val="00EC48D6"/>
    <w:rsid w:val="00EC548A"/>
    <w:rsid w:val="00EC60B0"/>
    <w:rsid w:val="00EC6911"/>
    <w:rsid w:val="00EC75D7"/>
    <w:rsid w:val="00ED17CE"/>
    <w:rsid w:val="00ED3168"/>
    <w:rsid w:val="00ED6C66"/>
    <w:rsid w:val="00EE6074"/>
    <w:rsid w:val="00EE6DE0"/>
    <w:rsid w:val="00EF61AC"/>
    <w:rsid w:val="00F0437F"/>
    <w:rsid w:val="00F043D6"/>
    <w:rsid w:val="00F04DFB"/>
    <w:rsid w:val="00F052DE"/>
    <w:rsid w:val="00F06F03"/>
    <w:rsid w:val="00F07555"/>
    <w:rsid w:val="00F1012D"/>
    <w:rsid w:val="00F11294"/>
    <w:rsid w:val="00F1260E"/>
    <w:rsid w:val="00F12FDA"/>
    <w:rsid w:val="00F16515"/>
    <w:rsid w:val="00F2130E"/>
    <w:rsid w:val="00F21D17"/>
    <w:rsid w:val="00F22260"/>
    <w:rsid w:val="00F23F11"/>
    <w:rsid w:val="00F254C7"/>
    <w:rsid w:val="00F25822"/>
    <w:rsid w:val="00F27CAC"/>
    <w:rsid w:val="00F27DF3"/>
    <w:rsid w:val="00F31261"/>
    <w:rsid w:val="00F32D09"/>
    <w:rsid w:val="00F33316"/>
    <w:rsid w:val="00F33B58"/>
    <w:rsid w:val="00F3588E"/>
    <w:rsid w:val="00F37341"/>
    <w:rsid w:val="00F404C0"/>
    <w:rsid w:val="00F41131"/>
    <w:rsid w:val="00F43911"/>
    <w:rsid w:val="00F45615"/>
    <w:rsid w:val="00F46FC3"/>
    <w:rsid w:val="00F47BEF"/>
    <w:rsid w:val="00F5339D"/>
    <w:rsid w:val="00F57DB8"/>
    <w:rsid w:val="00F60286"/>
    <w:rsid w:val="00F60F97"/>
    <w:rsid w:val="00F62CC1"/>
    <w:rsid w:val="00F64266"/>
    <w:rsid w:val="00F64448"/>
    <w:rsid w:val="00F65149"/>
    <w:rsid w:val="00F6542F"/>
    <w:rsid w:val="00F672E7"/>
    <w:rsid w:val="00F72B40"/>
    <w:rsid w:val="00F737CD"/>
    <w:rsid w:val="00F7419F"/>
    <w:rsid w:val="00F7687A"/>
    <w:rsid w:val="00F804EC"/>
    <w:rsid w:val="00F830F0"/>
    <w:rsid w:val="00F83335"/>
    <w:rsid w:val="00F84042"/>
    <w:rsid w:val="00F84150"/>
    <w:rsid w:val="00F84F36"/>
    <w:rsid w:val="00F85982"/>
    <w:rsid w:val="00F85F47"/>
    <w:rsid w:val="00F863B1"/>
    <w:rsid w:val="00F8663A"/>
    <w:rsid w:val="00F86A05"/>
    <w:rsid w:val="00F87F83"/>
    <w:rsid w:val="00F87FAB"/>
    <w:rsid w:val="00F90B96"/>
    <w:rsid w:val="00F90CAB"/>
    <w:rsid w:val="00F90FBD"/>
    <w:rsid w:val="00F91AF5"/>
    <w:rsid w:val="00F91C7E"/>
    <w:rsid w:val="00F929FE"/>
    <w:rsid w:val="00F93E6E"/>
    <w:rsid w:val="00F93E9A"/>
    <w:rsid w:val="00F953A3"/>
    <w:rsid w:val="00F961C3"/>
    <w:rsid w:val="00FA0CEA"/>
    <w:rsid w:val="00FA0E52"/>
    <w:rsid w:val="00FA294F"/>
    <w:rsid w:val="00FA39EE"/>
    <w:rsid w:val="00FA3B75"/>
    <w:rsid w:val="00FA3E09"/>
    <w:rsid w:val="00FA48EB"/>
    <w:rsid w:val="00FA5B1D"/>
    <w:rsid w:val="00FB022D"/>
    <w:rsid w:val="00FB0465"/>
    <w:rsid w:val="00FB1497"/>
    <w:rsid w:val="00FB2678"/>
    <w:rsid w:val="00FB3732"/>
    <w:rsid w:val="00FB46D9"/>
    <w:rsid w:val="00FB552A"/>
    <w:rsid w:val="00FB6141"/>
    <w:rsid w:val="00FB74DC"/>
    <w:rsid w:val="00FC1132"/>
    <w:rsid w:val="00FC40CF"/>
    <w:rsid w:val="00FC5A25"/>
    <w:rsid w:val="00FD04AF"/>
    <w:rsid w:val="00FD10A4"/>
    <w:rsid w:val="00FD142B"/>
    <w:rsid w:val="00FD1FF8"/>
    <w:rsid w:val="00FD24A2"/>
    <w:rsid w:val="00FD35EF"/>
    <w:rsid w:val="00FD62E5"/>
    <w:rsid w:val="00FD6468"/>
    <w:rsid w:val="00FD6E2E"/>
    <w:rsid w:val="00FD74CB"/>
    <w:rsid w:val="00FE1334"/>
    <w:rsid w:val="00FE17DC"/>
    <w:rsid w:val="00FE18C7"/>
    <w:rsid w:val="00FE2014"/>
    <w:rsid w:val="00FE34D0"/>
    <w:rsid w:val="00FE50D5"/>
    <w:rsid w:val="00FE54DF"/>
    <w:rsid w:val="00FE6F26"/>
    <w:rsid w:val="00FE7241"/>
    <w:rsid w:val="00FE74D0"/>
    <w:rsid w:val="00FE7895"/>
    <w:rsid w:val="00FF01B4"/>
    <w:rsid w:val="00FF01D3"/>
    <w:rsid w:val="00FF06B0"/>
    <w:rsid w:val="00FF0DD6"/>
    <w:rsid w:val="00FF1A87"/>
    <w:rsid w:val="00FF1B35"/>
    <w:rsid w:val="00FF2E88"/>
    <w:rsid w:val="00FF4010"/>
    <w:rsid w:val="00FF4D7C"/>
    <w:rsid w:val="00FF5571"/>
    <w:rsid w:val="00FF588E"/>
    <w:rsid w:val="00FF5EF3"/>
    <w:rsid w:val="00FF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C1D2F"/>
  <w15:docId w15:val="{8A4A2DBF-A0C9-491C-8269-1BC5BF5B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AB"/>
    <w:rPr>
      <w:sz w:val="24"/>
      <w:szCs w:val="24"/>
    </w:rPr>
  </w:style>
  <w:style w:type="paragraph" w:styleId="Heading1">
    <w:name w:val="heading 1"/>
    <w:basedOn w:val="Normal"/>
    <w:next w:val="Normal"/>
    <w:link w:val="Heading1Char"/>
    <w:uiPriority w:val="9"/>
    <w:qFormat/>
    <w:rsid w:val="00817D3E"/>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
    <w:unhideWhenUsed/>
    <w:qFormat/>
    <w:rsid w:val="00EC60B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C60B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EC60B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7D3E"/>
    <w:pPr>
      <w:spacing w:before="100" w:beforeAutospacing="1" w:after="100" w:afterAutospacing="1"/>
    </w:pPr>
    <w:rPr>
      <w:lang w:val="en-US" w:eastAsia="en-US"/>
    </w:rPr>
  </w:style>
  <w:style w:type="character" w:styleId="Strong">
    <w:name w:val="Strong"/>
    <w:uiPriority w:val="22"/>
    <w:qFormat/>
    <w:rsid w:val="00817D3E"/>
    <w:rPr>
      <w:b/>
      <w:bCs/>
    </w:rPr>
  </w:style>
  <w:style w:type="paragraph" w:styleId="DocumentMap">
    <w:name w:val="Document Map"/>
    <w:basedOn w:val="Normal"/>
    <w:semiHidden/>
    <w:rsid w:val="00664A67"/>
    <w:pPr>
      <w:shd w:val="clear" w:color="auto" w:fill="000080"/>
    </w:pPr>
    <w:rPr>
      <w:rFonts w:ascii="Tahoma" w:hAnsi="Tahoma" w:cs="Tahoma"/>
      <w:sz w:val="20"/>
      <w:szCs w:val="20"/>
    </w:rPr>
  </w:style>
  <w:style w:type="paragraph" w:customStyle="1" w:styleId="nhsdept">
    <w:name w:val="nhs_dept"/>
    <w:basedOn w:val="Normal"/>
    <w:rsid w:val="00F84150"/>
    <w:rPr>
      <w:b/>
      <w:kern w:val="16"/>
      <w:sz w:val="28"/>
      <w:szCs w:val="20"/>
      <w:lang w:eastAsia="en-US"/>
    </w:rPr>
  </w:style>
  <w:style w:type="paragraph" w:customStyle="1" w:styleId="nhstopaddress">
    <w:name w:val="nhs_topaddress"/>
    <w:basedOn w:val="Normal"/>
    <w:rsid w:val="00F84150"/>
    <w:rPr>
      <w:kern w:val="16"/>
      <w:szCs w:val="20"/>
      <w:lang w:eastAsia="en-US"/>
    </w:rPr>
  </w:style>
  <w:style w:type="paragraph" w:styleId="Header">
    <w:name w:val="header"/>
    <w:basedOn w:val="Normal"/>
    <w:link w:val="HeaderChar"/>
    <w:uiPriority w:val="99"/>
    <w:rsid w:val="008B7312"/>
    <w:pPr>
      <w:tabs>
        <w:tab w:val="center" w:pos="4153"/>
        <w:tab w:val="right" w:pos="8306"/>
      </w:tabs>
    </w:pPr>
  </w:style>
  <w:style w:type="paragraph" w:styleId="Footer">
    <w:name w:val="footer"/>
    <w:basedOn w:val="Normal"/>
    <w:link w:val="FooterChar"/>
    <w:uiPriority w:val="99"/>
    <w:rsid w:val="008B7312"/>
    <w:pPr>
      <w:tabs>
        <w:tab w:val="center" w:pos="4153"/>
        <w:tab w:val="right" w:pos="8306"/>
      </w:tabs>
    </w:pPr>
  </w:style>
  <w:style w:type="paragraph" w:styleId="ListParagraph">
    <w:name w:val="List Paragraph"/>
    <w:basedOn w:val="Normal"/>
    <w:uiPriority w:val="34"/>
    <w:qFormat/>
    <w:rsid w:val="002A7CE6"/>
    <w:pPr>
      <w:ind w:left="720"/>
    </w:pPr>
  </w:style>
  <w:style w:type="table" w:styleId="TableGrid">
    <w:name w:val="Table Grid"/>
    <w:basedOn w:val="TableNormal"/>
    <w:uiPriority w:val="59"/>
    <w:rsid w:val="00D05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07BEE"/>
    <w:rPr>
      <w:color w:val="0000FF"/>
      <w:u w:val="single"/>
    </w:rPr>
  </w:style>
  <w:style w:type="paragraph" w:styleId="BalloonText">
    <w:name w:val="Balloon Text"/>
    <w:basedOn w:val="Normal"/>
    <w:link w:val="BalloonTextChar"/>
    <w:uiPriority w:val="99"/>
    <w:rsid w:val="00B555AB"/>
    <w:rPr>
      <w:rFonts w:ascii="Tahoma" w:hAnsi="Tahoma" w:cs="Tahoma"/>
      <w:sz w:val="16"/>
      <w:szCs w:val="16"/>
    </w:rPr>
  </w:style>
  <w:style w:type="character" w:customStyle="1" w:styleId="BalloonTextChar">
    <w:name w:val="Balloon Text Char"/>
    <w:link w:val="BalloonText"/>
    <w:uiPriority w:val="99"/>
    <w:rsid w:val="00B555AB"/>
    <w:rPr>
      <w:rFonts w:ascii="Tahoma" w:hAnsi="Tahoma" w:cs="Tahoma"/>
      <w:sz w:val="16"/>
      <w:szCs w:val="16"/>
    </w:rPr>
  </w:style>
  <w:style w:type="character" w:customStyle="1" w:styleId="FooterChar">
    <w:name w:val="Footer Char"/>
    <w:link w:val="Footer"/>
    <w:uiPriority w:val="99"/>
    <w:rsid w:val="002034CB"/>
    <w:rPr>
      <w:sz w:val="24"/>
      <w:szCs w:val="24"/>
    </w:rPr>
  </w:style>
  <w:style w:type="character" w:customStyle="1" w:styleId="Heading2Char">
    <w:name w:val="Heading 2 Char"/>
    <w:link w:val="Heading2"/>
    <w:uiPriority w:val="9"/>
    <w:rsid w:val="00EC60B0"/>
    <w:rPr>
      <w:rFonts w:ascii="Cambria" w:hAnsi="Cambria"/>
      <w:b/>
      <w:bCs/>
      <w:color w:val="4F81BD"/>
      <w:sz w:val="26"/>
      <w:szCs w:val="26"/>
    </w:rPr>
  </w:style>
  <w:style w:type="character" w:customStyle="1" w:styleId="Heading3Char">
    <w:name w:val="Heading 3 Char"/>
    <w:link w:val="Heading3"/>
    <w:uiPriority w:val="9"/>
    <w:rsid w:val="00EC60B0"/>
    <w:rPr>
      <w:rFonts w:ascii="Cambria" w:hAnsi="Cambria"/>
      <w:b/>
      <w:bCs/>
      <w:color w:val="4F81BD"/>
      <w:sz w:val="24"/>
      <w:szCs w:val="24"/>
    </w:rPr>
  </w:style>
  <w:style w:type="character" w:customStyle="1" w:styleId="Heading4Char">
    <w:name w:val="Heading 4 Char"/>
    <w:link w:val="Heading4"/>
    <w:uiPriority w:val="9"/>
    <w:rsid w:val="00EC60B0"/>
    <w:rPr>
      <w:rFonts w:ascii="Cambria" w:hAnsi="Cambria"/>
      <w:b/>
      <w:bCs/>
      <w:i/>
      <w:iCs/>
      <w:color w:val="4F81BD"/>
      <w:sz w:val="24"/>
      <w:szCs w:val="24"/>
    </w:rPr>
  </w:style>
  <w:style w:type="character" w:customStyle="1" w:styleId="HeaderChar">
    <w:name w:val="Header Char"/>
    <w:link w:val="Header"/>
    <w:uiPriority w:val="99"/>
    <w:rsid w:val="00EC60B0"/>
    <w:rPr>
      <w:sz w:val="24"/>
      <w:szCs w:val="24"/>
    </w:rPr>
  </w:style>
  <w:style w:type="paragraph" w:styleId="Title">
    <w:name w:val="Title"/>
    <w:basedOn w:val="Normal"/>
    <w:next w:val="Normal"/>
    <w:link w:val="TitleChar"/>
    <w:uiPriority w:val="10"/>
    <w:qFormat/>
    <w:rsid w:val="00EC60B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C60B0"/>
    <w:rPr>
      <w:rFonts w:ascii="Cambria" w:hAnsi="Cambria"/>
      <w:color w:val="17365D"/>
      <w:spacing w:val="5"/>
      <w:kern w:val="28"/>
      <w:sz w:val="52"/>
      <w:szCs w:val="52"/>
    </w:rPr>
  </w:style>
  <w:style w:type="character" w:styleId="SubtleEmphasis">
    <w:name w:val="Subtle Emphasis"/>
    <w:uiPriority w:val="19"/>
    <w:qFormat/>
    <w:rsid w:val="00EC60B0"/>
    <w:rPr>
      <w:i/>
      <w:iCs/>
      <w:color w:val="808080"/>
    </w:rPr>
  </w:style>
  <w:style w:type="paragraph" w:styleId="Quote">
    <w:name w:val="Quote"/>
    <w:basedOn w:val="Normal"/>
    <w:next w:val="Normal"/>
    <w:link w:val="QuoteChar"/>
    <w:uiPriority w:val="29"/>
    <w:qFormat/>
    <w:rsid w:val="00EC60B0"/>
    <w:rPr>
      <w:i/>
      <w:iCs/>
      <w:color w:val="000000"/>
    </w:rPr>
  </w:style>
  <w:style w:type="character" w:customStyle="1" w:styleId="QuoteChar">
    <w:name w:val="Quote Char"/>
    <w:link w:val="Quote"/>
    <w:uiPriority w:val="29"/>
    <w:rsid w:val="00EC60B0"/>
    <w:rPr>
      <w:i/>
      <w:iCs/>
      <w:color w:val="000000"/>
      <w:sz w:val="24"/>
      <w:szCs w:val="24"/>
    </w:rPr>
  </w:style>
  <w:style w:type="character" w:styleId="Emphasis">
    <w:name w:val="Emphasis"/>
    <w:uiPriority w:val="20"/>
    <w:qFormat/>
    <w:rsid w:val="00EC60B0"/>
    <w:rPr>
      <w:i/>
      <w:iCs/>
    </w:rPr>
  </w:style>
  <w:style w:type="paragraph" w:styleId="PlainText">
    <w:name w:val="Plain Text"/>
    <w:basedOn w:val="Normal"/>
    <w:link w:val="PlainTextChar"/>
    <w:uiPriority w:val="99"/>
    <w:unhideWhenUsed/>
    <w:rsid w:val="00EC60B0"/>
    <w:rPr>
      <w:rFonts w:ascii="Consolas" w:eastAsia="Calibri" w:hAnsi="Consolas" w:cs="Consolas"/>
      <w:sz w:val="21"/>
      <w:szCs w:val="21"/>
    </w:rPr>
  </w:style>
  <w:style w:type="character" w:customStyle="1" w:styleId="PlainTextChar">
    <w:name w:val="Plain Text Char"/>
    <w:link w:val="PlainText"/>
    <w:uiPriority w:val="99"/>
    <w:rsid w:val="00EC60B0"/>
    <w:rPr>
      <w:rFonts w:ascii="Consolas" w:eastAsia="Calibri" w:hAnsi="Consolas" w:cs="Consolas"/>
      <w:sz w:val="21"/>
      <w:szCs w:val="21"/>
    </w:rPr>
  </w:style>
  <w:style w:type="character" w:styleId="FollowedHyperlink">
    <w:name w:val="FollowedHyperlink"/>
    <w:uiPriority w:val="99"/>
    <w:unhideWhenUsed/>
    <w:rsid w:val="00EC60B0"/>
    <w:rPr>
      <w:color w:val="800080"/>
      <w:u w:val="single"/>
    </w:rPr>
  </w:style>
  <w:style w:type="character" w:customStyle="1" w:styleId="st1">
    <w:name w:val="st1"/>
    <w:rsid w:val="00EC60B0"/>
  </w:style>
  <w:style w:type="character" w:styleId="BookTitle">
    <w:name w:val="Book Title"/>
    <w:uiPriority w:val="33"/>
    <w:qFormat/>
    <w:rsid w:val="00EC60B0"/>
    <w:rPr>
      <w:b/>
      <w:bCs/>
      <w:smallCaps/>
      <w:spacing w:val="5"/>
    </w:rPr>
  </w:style>
  <w:style w:type="character" w:styleId="IntenseEmphasis">
    <w:name w:val="Intense Emphasis"/>
    <w:uiPriority w:val="21"/>
    <w:qFormat/>
    <w:rsid w:val="00EC60B0"/>
    <w:rPr>
      <w:b/>
      <w:bCs/>
      <w:i/>
      <w:iCs/>
      <w:color w:val="4F81BD"/>
    </w:rPr>
  </w:style>
  <w:style w:type="character" w:customStyle="1" w:styleId="Heading1Char">
    <w:name w:val="Heading 1 Char"/>
    <w:link w:val="Heading1"/>
    <w:uiPriority w:val="9"/>
    <w:rsid w:val="00EC60B0"/>
    <w:rPr>
      <w:rFonts w:ascii="Arial" w:hAnsi="Arial" w:cs="Arial"/>
      <w:b/>
      <w:bCs/>
      <w:kern w:val="32"/>
      <w:sz w:val="32"/>
      <w:szCs w:val="32"/>
      <w:lang w:val="en-US" w:eastAsia="en-US"/>
    </w:rPr>
  </w:style>
  <w:style w:type="paragraph" w:styleId="IntenseQuote">
    <w:name w:val="Intense Quote"/>
    <w:basedOn w:val="Normal"/>
    <w:next w:val="Normal"/>
    <w:link w:val="IntenseQuoteChar"/>
    <w:uiPriority w:val="30"/>
    <w:qFormat/>
    <w:rsid w:val="00EC60B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C60B0"/>
    <w:rPr>
      <w:b/>
      <w:bCs/>
      <w:i/>
      <w:iCs/>
      <w:color w:val="4F81BD"/>
      <w:sz w:val="24"/>
      <w:szCs w:val="24"/>
    </w:rPr>
  </w:style>
  <w:style w:type="paragraph" w:styleId="Subtitle">
    <w:name w:val="Subtitle"/>
    <w:basedOn w:val="Normal"/>
    <w:next w:val="Normal"/>
    <w:link w:val="SubtitleChar"/>
    <w:uiPriority w:val="11"/>
    <w:qFormat/>
    <w:rsid w:val="00EC60B0"/>
    <w:pPr>
      <w:numPr>
        <w:ilvl w:val="1"/>
      </w:numPr>
    </w:pPr>
    <w:rPr>
      <w:rFonts w:ascii="Cambria" w:hAnsi="Cambria"/>
      <w:i/>
      <w:iCs/>
      <w:color w:val="4F81BD"/>
      <w:spacing w:val="15"/>
    </w:rPr>
  </w:style>
  <w:style w:type="character" w:customStyle="1" w:styleId="SubtitleChar">
    <w:name w:val="Subtitle Char"/>
    <w:link w:val="Subtitle"/>
    <w:uiPriority w:val="11"/>
    <w:rsid w:val="00EC60B0"/>
    <w:rPr>
      <w:rFonts w:ascii="Cambria" w:hAnsi="Cambria"/>
      <w:i/>
      <w:iCs/>
      <w:color w:val="4F81BD"/>
      <w:spacing w:val="15"/>
      <w:sz w:val="24"/>
      <w:szCs w:val="24"/>
    </w:rPr>
  </w:style>
  <w:style w:type="table" w:customStyle="1" w:styleId="TableGrid1">
    <w:name w:val="Table Grid1"/>
    <w:basedOn w:val="TableNormal"/>
    <w:next w:val="TableGrid"/>
    <w:uiPriority w:val="59"/>
    <w:rsid w:val="00EC60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0B0"/>
    <w:pPr>
      <w:autoSpaceDE w:val="0"/>
      <w:autoSpaceDN w:val="0"/>
      <w:adjustRightInd w:val="0"/>
    </w:pPr>
    <w:rPr>
      <w:rFonts w:ascii="Calibri" w:eastAsia="Calibri" w:hAnsi="Calibri" w:cs="Calibri"/>
      <w:color w:val="000000"/>
      <w:sz w:val="24"/>
      <w:szCs w:val="24"/>
      <w:lang w:eastAsia="en-US"/>
    </w:rPr>
  </w:style>
  <w:style w:type="table" w:customStyle="1" w:styleId="TableGrid2">
    <w:name w:val="Table Grid2"/>
    <w:basedOn w:val="TableNormal"/>
    <w:next w:val="TableGrid"/>
    <w:uiPriority w:val="59"/>
    <w:rsid w:val="00EC60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60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C60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C60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C60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arttitle">
    <w:name w:val="TableChart title"/>
    <w:basedOn w:val="Normal"/>
    <w:qFormat/>
    <w:rsid w:val="00EC60B0"/>
    <w:pPr>
      <w:spacing w:before="240" w:after="240"/>
    </w:pPr>
    <w:rPr>
      <w:rFonts w:ascii="Arial" w:hAnsi="Arial"/>
      <w:b/>
      <w:color w:val="78A541"/>
    </w:rPr>
  </w:style>
  <w:style w:type="table" w:customStyle="1" w:styleId="TableGrid7">
    <w:name w:val="Table Grid7"/>
    <w:basedOn w:val="TableNormal"/>
    <w:next w:val="TableGrid"/>
    <w:uiPriority w:val="59"/>
    <w:rsid w:val="00EC60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EC60B0"/>
    <w:rPr>
      <w:smallCaps/>
      <w:color w:val="C0504D"/>
      <w:u w:val="single"/>
    </w:rPr>
  </w:style>
  <w:style w:type="character" w:styleId="CommentReference">
    <w:name w:val="annotation reference"/>
    <w:uiPriority w:val="99"/>
    <w:unhideWhenUsed/>
    <w:rsid w:val="00EC60B0"/>
    <w:rPr>
      <w:sz w:val="16"/>
      <w:szCs w:val="16"/>
    </w:rPr>
  </w:style>
  <w:style w:type="paragraph" w:styleId="CommentText">
    <w:name w:val="annotation text"/>
    <w:basedOn w:val="Normal"/>
    <w:link w:val="CommentTextChar"/>
    <w:uiPriority w:val="99"/>
    <w:unhideWhenUsed/>
    <w:rsid w:val="00EC60B0"/>
    <w:rPr>
      <w:sz w:val="20"/>
      <w:szCs w:val="20"/>
    </w:rPr>
  </w:style>
  <w:style w:type="character" w:customStyle="1" w:styleId="CommentTextChar">
    <w:name w:val="Comment Text Char"/>
    <w:basedOn w:val="DefaultParagraphFont"/>
    <w:link w:val="CommentText"/>
    <w:uiPriority w:val="99"/>
    <w:rsid w:val="00EC60B0"/>
  </w:style>
  <w:style w:type="paragraph" w:styleId="CommentSubject">
    <w:name w:val="annotation subject"/>
    <w:basedOn w:val="CommentText"/>
    <w:next w:val="CommentText"/>
    <w:link w:val="CommentSubjectChar"/>
    <w:uiPriority w:val="99"/>
    <w:unhideWhenUsed/>
    <w:rsid w:val="00EC60B0"/>
    <w:rPr>
      <w:b/>
      <w:bCs/>
    </w:rPr>
  </w:style>
  <w:style w:type="character" w:customStyle="1" w:styleId="CommentSubjectChar">
    <w:name w:val="Comment Subject Char"/>
    <w:link w:val="CommentSubject"/>
    <w:uiPriority w:val="99"/>
    <w:rsid w:val="00EC60B0"/>
    <w:rPr>
      <w:b/>
      <w:bCs/>
    </w:rPr>
  </w:style>
  <w:style w:type="paragraph" w:styleId="NoSpacing">
    <w:name w:val="No Spacing"/>
    <w:uiPriority w:val="1"/>
    <w:qFormat/>
    <w:rsid w:val="00EC60B0"/>
    <w:rPr>
      <w:rFonts w:ascii="Calibri" w:hAnsi="Calibri" w:cs="Calibri"/>
      <w:sz w:val="22"/>
      <w:szCs w:val="22"/>
    </w:rPr>
  </w:style>
  <w:style w:type="paragraph" w:customStyle="1" w:styleId="xxmsonormal">
    <w:name w:val="x_xmsonormal"/>
    <w:basedOn w:val="Normal"/>
    <w:uiPriority w:val="99"/>
    <w:rsid w:val="00EC60B0"/>
    <w:rPr>
      <w:rFonts w:eastAsia="Calibri"/>
    </w:rPr>
  </w:style>
  <w:style w:type="character" w:customStyle="1" w:styleId="A0">
    <w:name w:val="A0"/>
    <w:uiPriority w:val="99"/>
    <w:rsid w:val="00B422B3"/>
    <w:rPr>
      <w:rFonts w:cs="HelveticaNeueLT Std"/>
      <w:b/>
      <w:bCs/>
      <w:color w:val="000000"/>
      <w:sz w:val="72"/>
      <w:szCs w:val="72"/>
    </w:rPr>
  </w:style>
  <w:style w:type="character" w:customStyle="1" w:styleId="A2">
    <w:name w:val="A2"/>
    <w:uiPriority w:val="99"/>
    <w:rsid w:val="00B422B3"/>
    <w:rPr>
      <w:rFonts w:cs="HelveticaNeueLT Std"/>
      <w:b/>
      <w:bCs/>
      <w:color w:val="000000"/>
      <w:sz w:val="40"/>
      <w:szCs w:val="40"/>
    </w:rPr>
  </w:style>
  <w:style w:type="paragraph" w:customStyle="1" w:styleId="Pa48">
    <w:name w:val="Pa48"/>
    <w:basedOn w:val="Normal"/>
    <w:next w:val="Normal"/>
    <w:uiPriority w:val="99"/>
    <w:rsid w:val="00B422B3"/>
    <w:pPr>
      <w:autoSpaceDE w:val="0"/>
      <w:autoSpaceDN w:val="0"/>
      <w:adjustRightInd w:val="0"/>
      <w:spacing w:line="401" w:lineRule="atLeast"/>
    </w:pPr>
    <w:rPr>
      <w:rFonts w:ascii="HelveticaNeueLT Std" w:eastAsia="Calibri" w:hAnsi="HelveticaNeueLT Std"/>
    </w:rPr>
  </w:style>
  <w:style w:type="paragraph" w:customStyle="1" w:styleId="TableHead">
    <w:name w:val="Table Head"/>
    <w:basedOn w:val="Normal"/>
    <w:link w:val="TableHeadChar"/>
    <w:qFormat/>
    <w:rsid w:val="004E2F45"/>
    <w:pPr>
      <w:jc w:val="center"/>
    </w:pPr>
    <w:rPr>
      <w:rFonts w:ascii="Arial" w:eastAsia="Calibri" w:hAnsi="Arial"/>
      <w:b/>
      <w:color w:val="FFFFFF"/>
      <w:spacing w:val="-10"/>
      <w:sz w:val="22"/>
      <w:szCs w:val="22"/>
      <w:lang w:eastAsia="en-US"/>
    </w:rPr>
  </w:style>
  <w:style w:type="paragraph" w:customStyle="1" w:styleId="TableBody">
    <w:name w:val="Table Body"/>
    <w:basedOn w:val="TableHead"/>
    <w:link w:val="TableBodyChar"/>
    <w:qFormat/>
    <w:rsid w:val="004E2F45"/>
    <w:pPr>
      <w:spacing w:before="20" w:after="20"/>
      <w:jc w:val="left"/>
    </w:pPr>
    <w:rPr>
      <w:b w:val="0"/>
      <w:color w:val="262626"/>
    </w:rPr>
  </w:style>
  <w:style w:type="character" w:customStyle="1" w:styleId="TableHeadChar">
    <w:name w:val="Table Head Char"/>
    <w:link w:val="TableHead"/>
    <w:rsid w:val="004E2F45"/>
    <w:rPr>
      <w:rFonts w:ascii="Arial" w:eastAsia="Calibri" w:hAnsi="Arial" w:cs="Times New Roman"/>
      <w:b/>
      <w:color w:val="FFFFFF"/>
      <w:spacing w:val="-10"/>
      <w:sz w:val="22"/>
      <w:szCs w:val="22"/>
      <w:lang w:eastAsia="en-US"/>
    </w:rPr>
  </w:style>
  <w:style w:type="character" w:customStyle="1" w:styleId="TableBodyChar">
    <w:name w:val="Table Body Char"/>
    <w:link w:val="TableBody"/>
    <w:rsid w:val="004E2F45"/>
    <w:rPr>
      <w:rFonts w:ascii="Arial" w:eastAsia="Calibri" w:hAnsi="Arial" w:cs="Times New Roman"/>
      <w:b w:val="0"/>
      <w:color w:val="262626"/>
      <w:spacing w:val="-10"/>
      <w:sz w:val="22"/>
      <w:szCs w:val="22"/>
      <w:lang w:eastAsia="en-US"/>
    </w:rPr>
  </w:style>
  <w:style w:type="paragraph" w:customStyle="1" w:styleId="xxxmsolistparagraph">
    <w:name w:val="x_x_xmsolistparagraph"/>
    <w:basedOn w:val="Normal"/>
    <w:rsid w:val="00DB6ECE"/>
    <w:rPr>
      <w:rFonts w:eastAsia="Calibri"/>
    </w:rPr>
  </w:style>
  <w:style w:type="paragraph" w:styleId="Revision">
    <w:name w:val="Revision"/>
    <w:hidden/>
    <w:uiPriority w:val="99"/>
    <w:semiHidden/>
    <w:rsid w:val="00EC6911"/>
    <w:rPr>
      <w:sz w:val="24"/>
      <w:szCs w:val="24"/>
    </w:rPr>
  </w:style>
  <w:style w:type="character" w:styleId="HTMLCite">
    <w:name w:val="HTML Cite"/>
    <w:basedOn w:val="DefaultParagraphFont"/>
    <w:uiPriority w:val="99"/>
    <w:semiHidden/>
    <w:unhideWhenUsed/>
    <w:rsid w:val="00A70C1A"/>
    <w:rPr>
      <w:i/>
      <w:iCs/>
    </w:rPr>
  </w:style>
  <w:style w:type="character" w:customStyle="1" w:styleId="dyjrff">
    <w:name w:val="dyjrff"/>
    <w:basedOn w:val="DefaultParagraphFont"/>
    <w:rsid w:val="00A7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8254">
      <w:bodyDiv w:val="1"/>
      <w:marLeft w:val="0"/>
      <w:marRight w:val="0"/>
      <w:marTop w:val="0"/>
      <w:marBottom w:val="0"/>
      <w:divBdr>
        <w:top w:val="none" w:sz="0" w:space="0" w:color="auto"/>
        <w:left w:val="none" w:sz="0" w:space="0" w:color="auto"/>
        <w:bottom w:val="none" w:sz="0" w:space="0" w:color="auto"/>
        <w:right w:val="none" w:sz="0" w:space="0" w:color="auto"/>
      </w:divBdr>
    </w:div>
    <w:div w:id="161550883">
      <w:bodyDiv w:val="1"/>
      <w:marLeft w:val="0"/>
      <w:marRight w:val="0"/>
      <w:marTop w:val="0"/>
      <w:marBottom w:val="0"/>
      <w:divBdr>
        <w:top w:val="none" w:sz="0" w:space="0" w:color="auto"/>
        <w:left w:val="none" w:sz="0" w:space="0" w:color="auto"/>
        <w:bottom w:val="none" w:sz="0" w:space="0" w:color="auto"/>
        <w:right w:val="none" w:sz="0" w:space="0" w:color="auto"/>
      </w:divBdr>
    </w:div>
    <w:div w:id="166016798">
      <w:bodyDiv w:val="1"/>
      <w:marLeft w:val="0"/>
      <w:marRight w:val="0"/>
      <w:marTop w:val="0"/>
      <w:marBottom w:val="0"/>
      <w:divBdr>
        <w:top w:val="none" w:sz="0" w:space="0" w:color="auto"/>
        <w:left w:val="none" w:sz="0" w:space="0" w:color="auto"/>
        <w:bottom w:val="none" w:sz="0" w:space="0" w:color="auto"/>
        <w:right w:val="none" w:sz="0" w:space="0" w:color="auto"/>
      </w:divBdr>
    </w:div>
    <w:div w:id="209344278">
      <w:bodyDiv w:val="1"/>
      <w:marLeft w:val="0"/>
      <w:marRight w:val="0"/>
      <w:marTop w:val="0"/>
      <w:marBottom w:val="0"/>
      <w:divBdr>
        <w:top w:val="none" w:sz="0" w:space="0" w:color="auto"/>
        <w:left w:val="none" w:sz="0" w:space="0" w:color="auto"/>
        <w:bottom w:val="none" w:sz="0" w:space="0" w:color="auto"/>
        <w:right w:val="none" w:sz="0" w:space="0" w:color="auto"/>
      </w:divBdr>
    </w:div>
    <w:div w:id="220094729">
      <w:bodyDiv w:val="1"/>
      <w:marLeft w:val="0"/>
      <w:marRight w:val="0"/>
      <w:marTop w:val="0"/>
      <w:marBottom w:val="0"/>
      <w:divBdr>
        <w:top w:val="none" w:sz="0" w:space="0" w:color="auto"/>
        <w:left w:val="none" w:sz="0" w:space="0" w:color="auto"/>
        <w:bottom w:val="none" w:sz="0" w:space="0" w:color="auto"/>
        <w:right w:val="none" w:sz="0" w:space="0" w:color="auto"/>
      </w:divBdr>
    </w:div>
    <w:div w:id="230622407">
      <w:bodyDiv w:val="1"/>
      <w:marLeft w:val="0"/>
      <w:marRight w:val="0"/>
      <w:marTop w:val="0"/>
      <w:marBottom w:val="0"/>
      <w:divBdr>
        <w:top w:val="none" w:sz="0" w:space="0" w:color="auto"/>
        <w:left w:val="none" w:sz="0" w:space="0" w:color="auto"/>
        <w:bottom w:val="none" w:sz="0" w:space="0" w:color="auto"/>
        <w:right w:val="none" w:sz="0" w:space="0" w:color="auto"/>
      </w:divBdr>
    </w:div>
    <w:div w:id="261883874">
      <w:bodyDiv w:val="1"/>
      <w:marLeft w:val="0"/>
      <w:marRight w:val="0"/>
      <w:marTop w:val="0"/>
      <w:marBottom w:val="0"/>
      <w:divBdr>
        <w:top w:val="none" w:sz="0" w:space="0" w:color="auto"/>
        <w:left w:val="none" w:sz="0" w:space="0" w:color="auto"/>
        <w:bottom w:val="none" w:sz="0" w:space="0" w:color="auto"/>
        <w:right w:val="none" w:sz="0" w:space="0" w:color="auto"/>
      </w:divBdr>
    </w:div>
    <w:div w:id="270943690">
      <w:bodyDiv w:val="1"/>
      <w:marLeft w:val="0"/>
      <w:marRight w:val="0"/>
      <w:marTop w:val="0"/>
      <w:marBottom w:val="0"/>
      <w:divBdr>
        <w:top w:val="none" w:sz="0" w:space="0" w:color="auto"/>
        <w:left w:val="none" w:sz="0" w:space="0" w:color="auto"/>
        <w:bottom w:val="none" w:sz="0" w:space="0" w:color="auto"/>
        <w:right w:val="none" w:sz="0" w:space="0" w:color="auto"/>
      </w:divBdr>
    </w:div>
    <w:div w:id="305477799">
      <w:bodyDiv w:val="1"/>
      <w:marLeft w:val="0"/>
      <w:marRight w:val="0"/>
      <w:marTop w:val="0"/>
      <w:marBottom w:val="0"/>
      <w:divBdr>
        <w:top w:val="none" w:sz="0" w:space="0" w:color="auto"/>
        <w:left w:val="none" w:sz="0" w:space="0" w:color="auto"/>
        <w:bottom w:val="none" w:sz="0" w:space="0" w:color="auto"/>
        <w:right w:val="none" w:sz="0" w:space="0" w:color="auto"/>
      </w:divBdr>
    </w:div>
    <w:div w:id="313536580">
      <w:bodyDiv w:val="1"/>
      <w:marLeft w:val="0"/>
      <w:marRight w:val="0"/>
      <w:marTop w:val="0"/>
      <w:marBottom w:val="0"/>
      <w:divBdr>
        <w:top w:val="none" w:sz="0" w:space="0" w:color="auto"/>
        <w:left w:val="none" w:sz="0" w:space="0" w:color="auto"/>
        <w:bottom w:val="none" w:sz="0" w:space="0" w:color="auto"/>
        <w:right w:val="none" w:sz="0" w:space="0" w:color="auto"/>
      </w:divBdr>
    </w:div>
    <w:div w:id="354038173">
      <w:bodyDiv w:val="1"/>
      <w:marLeft w:val="0"/>
      <w:marRight w:val="0"/>
      <w:marTop w:val="0"/>
      <w:marBottom w:val="0"/>
      <w:divBdr>
        <w:top w:val="none" w:sz="0" w:space="0" w:color="auto"/>
        <w:left w:val="none" w:sz="0" w:space="0" w:color="auto"/>
        <w:bottom w:val="none" w:sz="0" w:space="0" w:color="auto"/>
        <w:right w:val="none" w:sz="0" w:space="0" w:color="auto"/>
      </w:divBdr>
    </w:div>
    <w:div w:id="414129944">
      <w:bodyDiv w:val="1"/>
      <w:marLeft w:val="0"/>
      <w:marRight w:val="0"/>
      <w:marTop w:val="0"/>
      <w:marBottom w:val="0"/>
      <w:divBdr>
        <w:top w:val="none" w:sz="0" w:space="0" w:color="auto"/>
        <w:left w:val="none" w:sz="0" w:space="0" w:color="auto"/>
        <w:bottom w:val="none" w:sz="0" w:space="0" w:color="auto"/>
        <w:right w:val="none" w:sz="0" w:space="0" w:color="auto"/>
      </w:divBdr>
    </w:div>
    <w:div w:id="439230210">
      <w:bodyDiv w:val="1"/>
      <w:marLeft w:val="0"/>
      <w:marRight w:val="0"/>
      <w:marTop w:val="0"/>
      <w:marBottom w:val="0"/>
      <w:divBdr>
        <w:top w:val="none" w:sz="0" w:space="0" w:color="auto"/>
        <w:left w:val="none" w:sz="0" w:space="0" w:color="auto"/>
        <w:bottom w:val="none" w:sz="0" w:space="0" w:color="auto"/>
        <w:right w:val="none" w:sz="0" w:space="0" w:color="auto"/>
      </w:divBdr>
    </w:div>
    <w:div w:id="505092914">
      <w:bodyDiv w:val="1"/>
      <w:marLeft w:val="0"/>
      <w:marRight w:val="0"/>
      <w:marTop w:val="0"/>
      <w:marBottom w:val="0"/>
      <w:divBdr>
        <w:top w:val="none" w:sz="0" w:space="0" w:color="auto"/>
        <w:left w:val="none" w:sz="0" w:space="0" w:color="auto"/>
        <w:bottom w:val="none" w:sz="0" w:space="0" w:color="auto"/>
        <w:right w:val="none" w:sz="0" w:space="0" w:color="auto"/>
      </w:divBdr>
    </w:div>
    <w:div w:id="666059767">
      <w:bodyDiv w:val="1"/>
      <w:marLeft w:val="0"/>
      <w:marRight w:val="0"/>
      <w:marTop w:val="0"/>
      <w:marBottom w:val="0"/>
      <w:divBdr>
        <w:top w:val="none" w:sz="0" w:space="0" w:color="auto"/>
        <w:left w:val="none" w:sz="0" w:space="0" w:color="auto"/>
        <w:bottom w:val="none" w:sz="0" w:space="0" w:color="auto"/>
        <w:right w:val="none" w:sz="0" w:space="0" w:color="auto"/>
      </w:divBdr>
    </w:div>
    <w:div w:id="713889277">
      <w:bodyDiv w:val="1"/>
      <w:marLeft w:val="0"/>
      <w:marRight w:val="0"/>
      <w:marTop w:val="0"/>
      <w:marBottom w:val="0"/>
      <w:divBdr>
        <w:top w:val="none" w:sz="0" w:space="0" w:color="auto"/>
        <w:left w:val="none" w:sz="0" w:space="0" w:color="auto"/>
        <w:bottom w:val="none" w:sz="0" w:space="0" w:color="auto"/>
        <w:right w:val="none" w:sz="0" w:space="0" w:color="auto"/>
      </w:divBdr>
    </w:div>
    <w:div w:id="726955835">
      <w:bodyDiv w:val="1"/>
      <w:marLeft w:val="0"/>
      <w:marRight w:val="0"/>
      <w:marTop w:val="0"/>
      <w:marBottom w:val="0"/>
      <w:divBdr>
        <w:top w:val="none" w:sz="0" w:space="0" w:color="auto"/>
        <w:left w:val="none" w:sz="0" w:space="0" w:color="auto"/>
        <w:bottom w:val="none" w:sz="0" w:space="0" w:color="auto"/>
        <w:right w:val="none" w:sz="0" w:space="0" w:color="auto"/>
      </w:divBdr>
    </w:div>
    <w:div w:id="753280276">
      <w:bodyDiv w:val="1"/>
      <w:marLeft w:val="0"/>
      <w:marRight w:val="0"/>
      <w:marTop w:val="0"/>
      <w:marBottom w:val="0"/>
      <w:divBdr>
        <w:top w:val="none" w:sz="0" w:space="0" w:color="auto"/>
        <w:left w:val="none" w:sz="0" w:space="0" w:color="auto"/>
        <w:bottom w:val="none" w:sz="0" w:space="0" w:color="auto"/>
        <w:right w:val="none" w:sz="0" w:space="0" w:color="auto"/>
      </w:divBdr>
    </w:div>
    <w:div w:id="756099248">
      <w:bodyDiv w:val="1"/>
      <w:marLeft w:val="0"/>
      <w:marRight w:val="0"/>
      <w:marTop w:val="0"/>
      <w:marBottom w:val="0"/>
      <w:divBdr>
        <w:top w:val="none" w:sz="0" w:space="0" w:color="auto"/>
        <w:left w:val="none" w:sz="0" w:space="0" w:color="auto"/>
        <w:bottom w:val="none" w:sz="0" w:space="0" w:color="auto"/>
        <w:right w:val="none" w:sz="0" w:space="0" w:color="auto"/>
      </w:divBdr>
    </w:div>
    <w:div w:id="907689071">
      <w:bodyDiv w:val="1"/>
      <w:marLeft w:val="0"/>
      <w:marRight w:val="0"/>
      <w:marTop w:val="0"/>
      <w:marBottom w:val="0"/>
      <w:divBdr>
        <w:top w:val="none" w:sz="0" w:space="0" w:color="auto"/>
        <w:left w:val="none" w:sz="0" w:space="0" w:color="auto"/>
        <w:bottom w:val="none" w:sz="0" w:space="0" w:color="auto"/>
        <w:right w:val="none" w:sz="0" w:space="0" w:color="auto"/>
      </w:divBdr>
    </w:div>
    <w:div w:id="914820017">
      <w:bodyDiv w:val="1"/>
      <w:marLeft w:val="0"/>
      <w:marRight w:val="0"/>
      <w:marTop w:val="0"/>
      <w:marBottom w:val="0"/>
      <w:divBdr>
        <w:top w:val="none" w:sz="0" w:space="0" w:color="auto"/>
        <w:left w:val="none" w:sz="0" w:space="0" w:color="auto"/>
        <w:bottom w:val="none" w:sz="0" w:space="0" w:color="auto"/>
        <w:right w:val="none" w:sz="0" w:space="0" w:color="auto"/>
      </w:divBdr>
    </w:div>
    <w:div w:id="968903870">
      <w:bodyDiv w:val="1"/>
      <w:marLeft w:val="0"/>
      <w:marRight w:val="0"/>
      <w:marTop w:val="0"/>
      <w:marBottom w:val="0"/>
      <w:divBdr>
        <w:top w:val="none" w:sz="0" w:space="0" w:color="auto"/>
        <w:left w:val="none" w:sz="0" w:space="0" w:color="auto"/>
        <w:bottom w:val="none" w:sz="0" w:space="0" w:color="auto"/>
        <w:right w:val="none" w:sz="0" w:space="0" w:color="auto"/>
      </w:divBdr>
    </w:div>
    <w:div w:id="989989498">
      <w:bodyDiv w:val="1"/>
      <w:marLeft w:val="0"/>
      <w:marRight w:val="0"/>
      <w:marTop w:val="0"/>
      <w:marBottom w:val="0"/>
      <w:divBdr>
        <w:top w:val="none" w:sz="0" w:space="0" w:color="auto"/>
        <w:left w:val="none" w:sz="0" w:space="0" w:color="auto"/>
        <w:bottom w:val="none" w:sz="0" w:space="0" w:color="auto"/>
        <w:right w:val="none" w:sz="0" w:space="0" w:color="auto"/>
      </w:divBdr>
      <w:divsChild>
        <w:div w:id="1190291815">
          <w:marLeft w:val="547"/>
          <w:marRight w:val="0"/>
          <w:marTop w:val="0"/>
          <w:marBottom w:val="0"/>
          <w:divBdr>
            <w:top w:val="none" w:sz="0" w:space="0" w:color="auto"/>
            <w:left w:val="none" w:sz="0" w:space="0" w:color="auto"/>
            <w:bottom w:val="none" w:sz="0" w:space="0" w:color="auto"/>
            <w:right w:val="none" w:sz="0" w:space="0" w:color="auto"/>
          </w:divBdr>
        </w:div>
      </w:divsChild>
    </w:div>
    <w:div w:id="1045331600">
      <w:bodyDiv w:val="1"/>
      <w:marLeft w:val="0"/>
      <w:marRight w:val="0"/>
      <w:marTop w:val="0"/>
      <w:marBottom w:val="0"/>
      <w:divBdr>
        <w:top w:val="none" w:sz="0" w:space="0" w:color="auto"/>
        <w:left w:val="none" w:sz="0" w:space="0" w:color="auto"/>
        <w:bottom w:val="none" w:sz="0" w:space="0" w:color="auto"/>
        <w:right w:val="none" w:sz="0" w:space="0" w:color="auto"/>
      </w:divBdr>
      <w:divsChild>
        <w:div w:id="1621494557">
          <w:marLeft w:val="360"/>
          <w:marRight w:val="0"/>
          <w:marTop w:val="200"/>
          <w:marBottom w:val="120"/>
          <w:divBdr>
            <w:top w:val="none" w:sz="0" w:space="0" w:color="auto"/>
            <w:left w:val="none" w:sz="0" w:space="0" w:color="auto"/>
            <w:bottom w:val="none" w:sz="0" w:space="0" w:color="auto"/>
            <w:right w:val="none" w:sz="0" w:space="0" w:color="auto"/>
          </w:divBdr>
        </w:div>
        <w:div w:id="1729764179">
          <w:marLeft w:val="360"/>
          <w:marRight w:val="0"/>
          <w:marTop w:val="0"/>
          <w:marBottom w:val="120"/>
          <w:divBdr>
            <w:top w:val="none" w:sz="0" w:space="0" w:color="auto"/>
            <w:left w:val="none" w:sz="0" w:space="0" w:color="auto"/>
            <w:bottom w:val="none" w:sz="0" w:space="0" w:color="auto"/>
            <w:right w:val="none" w:sz="0" w:space="0" w:color="auto"/>
          </w:divBdr>
        </w:div>
        <w:div w:id="1210141989">
          <w:marLeft w:val="360"/>
          <w:marRight w:val="0"/>
          <w:marTop w:val="0"/>
          <w:marBottom w:val="120"/>
          <w:divBdr>
            <w:top w:val="none" w:sz="0" w:space="0" w:color="auto"/>
            <w:left w:val="none" w:sz="0" w:space="0" w:color="auto"/>
            <w:bottom w:val="none" w:sz="0" w:space="0" w:color="auto"/>
            <w:right w:val="none" w:sz="0" w:space="0" w:color="auto"/>
          </w:divBdr>
        </w:div>
        <w:div w:id="1772236866">
          <w:marLeft w:val="360"/>
          <w:marRight w:val="0"/>
          <w:marTop w:val="0"/>
          <w:marBottom w:val="120"/>
          <w:divBdr>
            <w:top w:val="none" w:sz="0" w:space="0" w:color="auto"/>
            <w:left w:val="none" w:sz="0" w:space="0" w:color="auto"/>
            <w:bottom w:val="none" w:sz="0" w:space="0" w:color="auto"/>
            <w:right w:val="none" w:sz="0" w:space="0" w:color="auto"/>
          </w:divBdr>
        </w:div>
        <w:div w:id="834757728">
          <w:marLeft w:val="360"/>
          <w:marRight w:val="0"/>
          <w:marTop w:val="0"/>
          <w:marBottom w:val="120"/>
          <w:divBdr>
            <w:top w:val="none" w:sz="0" w:space="0" w:color="auto"/>
            <w:left w:val="none" w:sz="0" w:space="0" w:color="auto"/>
            <w:bottom w:val="none" w:sz="0" w:space="0" w:color="auto"/>
            <w:right w:val="none" w:sz="0" w:space="0" w:color="auto"/>
          </w:divBdr>
        </w:div>
        <w:div w:id="2076471345">
          <w:marLeft w:val="360"/>
          <w:marRight w:val="0"/>
          <w:marTop w:val="0"/>
          <w:marBottom w:val="120"/>
          <w:divBdr>
            <w:top w:val="none" w:sz="0" w:space="0" w:color="auto"/>
            <w:left w:val="none" w:sz="0" w:space="0" w:color="auto"/>
            <w:bottom w:val="none" w:sz="0" w:space="0" w:color="auto"/>
            <w:right w:val="none" w:sz="0" w:space="0" w:color="auto"/>
          </w:divBdr>
        </w:div>
      </w:divsChild>
    </w:div>
    <w:div w:id="1097407554">
      <w:bodyDiv w:val="1"/>
      <w:marLeft w:val="750"/>
      <w:marRight w:val="0"/>
      <w:marTop w:val="0"/>
      <w:marBottom w:val="0"/>
      <w:divBdr>
        <w:top w:val="none" w:sz="0" w:space="0" w:color="auto"/>
        <w:left w:val="none" w:sz="0" w:space="0" w:color="auto"/>
        <w:bottom w:val="none" w:sz="0" w:space="0" w:color="auto"/>
        <w:right w:val="none" w:sz="0" w:space="0" w:color="auto"/>
      </w:divBdr>
      <w:divsChild>
        <w:div w:id="974069757">
          <w:marLeft w:val="0"/>
          <w:marRight w:val="0"/>
          <w:marTop w:val="0"/>
          <w:marBottom w:val="0"/>
          <w:divBdr>
            <w:top w:val="none" w:sz="0" w:space="0" w:color="auto"/>
            <w:left w:val="none" w:sz="0" w:space="0" w:color="auto"/>
            <w:bottom w:val="none" w:sz="0" w:space="0" w:color="auto"/>
            <w:right w:val="none" w:sz="0" w:space="0" w:color="auto"/>
          </w:divBdr>
        </w:div>
        <w:div w:id="1067343102">
          <w:marLeft w:val="0"/>
          <w:marRight w:val="0"/>
          <w:marTop w:val="0"/>
          <w:marBottom w:val="0"/>
          <w:divBdr>
            <w:top w:val="none" w:sz="0" w:space="0" w:color="auto"/>
            <w:left w:val="none" w:sz="0" w:space="0" w:color="auto"/>
            <w:bottom w:val="none" w:sz="0" w:space="0" w:color="auto"/>
            <w:right w:val="none" w:sz="0" w:space="0" w:color="auto"/>
          </w:divBdr>
        </w:div>
        <w:div w:id="1373992823">
          <w:marLeft w:val="0"/>
          <w:marRight w:val="0"/>
          <w:marTop w:val="0"/>
          <w:marBottom w:val="0"/>
          <w:divBdr>
            <w:top w:val="none" w:sz="0" w:space="0" w:color="auto"/>
            <w:left w:val="none" w:sz="0" w:space="0" w:color="auto"/>
            <w:bottom w:val="none" w:sz="0" w:space="0" w:color="auto"/>
            <w:right w:val="none" w:sz="0" w:space="0" w:color="auto"/>
          </w:divBdr>
        </w:div>
      </w:divsChild>
    </w:div>
    <w:div w:id="1207717010">
      <w:bodyDiv w:val="1"/>
      <w:marLeft w:val="0"/>
      <w:marRight w:val="0"/>
      <w:marTop w:val="0"/>
      <w:marBottom w:val="0"/>
      <w:divBdr>
        <w:top w:val="none" w:sz="0" w:space="0" w:color="auto"/>
        <w:left w:val="none" w:sz="0" w:space="0" w:color="auto"/>
        <w:bottom w:val="none" w:sz="0" w:space="0" w:color="auto"/>
        <w:right w:val="none" w:sz="0" w:space="0" w:color="auto"/>
      </w:divBdr>
      <w:divsChild>
        <w:div w:id="551231009">
          <w:marLeft w:val="0"/>
          <w:marRight w:val="0"/>
          <w:marTop w:val="0"/>
          <w:marBottom w:val="0"/>
          <w:divBdr>
            <w:top w:val="none" w:sz="0" w:space="0" w:color="auto"/>
            <w:left w:val="none" w:sz="0" w:space="0" w:color="auto"/>
            <w:bottom w:val="none" w:sz="0" w:space="0" w:color="auto"/>
            <w:right w:val="none" w:sz="0" w:space="0" w:color="auto"/>
          </w:divBdr>
        </w:div>
        <w:div w:id="910696590">
          <w:marLeft w:val="0"/>
          <w:marRight w:val="0"/>
          <w:marTop w:val="0"/>
          <w:marBottom w:val="0"/>
          <w:divBdr>
            <w:top w:val="none" w:sz="0" w:space="0" w:color="auto"/>
            <w:left w:val="none" w:sz="0" w:space="0" w:color="auto"/>
            <w:bottom w:val="none" w:sz="0" w:space="0" w:color="auto"/>
            <w:right w:val="none" w:sz="0" w:space="0" w:color="auto"/>
          </w:divBdr>
          <w:divsChild>
            <w:div w:id="2016301033">
              <w:marLeft w:val="0"/>
              <w:marRight w:val="0"/>
              <w:marTop w:val="0"/>
              <w:marBottom w:val="0"/>
              <w:divBdr>
                <w:top w:val="none" w:sz="0" w:space="0" w:color="auto"/>
                <w:left w:val="none" w:sz="0" w:space="0" w:color="auto"/>
                <w:bottom w:val="none" w:sz="0" w:space="0" w:color="auto"/>
                <w:right w:val="none" w:sz="0" w:space="0" w:color="auto"/>
              </w:divBdr>
              <w:divsChild>
                <w:div w:id="20240455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934814">
          <w:marLeft w:val="0"/>
          <w:marRight w:val="0"/>
          <w:marTop w:val="0"/>
          <w:marBottom w:val="0"/>
          <w:divBdr>
            <w:top w:val="none" w:sz="0" w:space="0" w:color="auto"/>
            <w:left w:val="none" w:sz="0" w:space="0" w:color="auto"/>
            <w:bottom w:val="none" w:sz="0" w:space="0" w:color="auto"/>
            <w:right w:val="none" w:sz="0" w:space="0" w:color="auto"/>
          </w:divBdr>
        </w:div>
      </w:divsChild>
    </w:div>
    <w:div w:id="1210150805">
      <w:bodyDiv w:val="1"/>
      <w:marLeft w:val="0"/>
      <w:marRight w:val="0"/>
      <w:marTop w:val="0"/>
      <w:marBottom w:val="0"/>
      <w:divBdr>
        <w:top w:val="none" w:sz="0" w:space="0" w:color="auto"/>
        <w:left w:val="none" w:sz="0" w:space="0" w:color="auto"/>
        <w:bottom w:val="none" w:sz="0" w:space="0" w:color="auto"/>
        <w:right w:val="none" w:sz="0" w:space="0" w:color="auto"/>
      </w:divBdr>
    </w:div>
    <w:div w:id="1284000385">
      <w:bodyDiv w:val="1"/>
      <w:marLeft w:val="0"/>
      <w:marRight w:val="0"/>
      <w:marTop w:val="0"/>
      <w:marBottom w:val="0"/>
      <w:divBdr>
        <w:top w:val="none" w:sz="0" w:space="0" w:color="auto"/>
        <w:left w:val="none" w:sz="0" w:space="0" w:color="auto"/>
        <w:bottom w:val="none" w:sz="0" w:space="0" w:color="auto"/>
        <w:right w:val="none" w:sz="0" w:space="0" w:color="auto"/>
      </w:divBdr>
    </w:div>
    <w:div w:id="1291739606">
      <w:bodyDiv w:val="1"/>
      <w:marLeft w:val="0"/>
      <w:marRight w:val="0"/>
      <w:marTop w:val="0"/>
      <w:marBottom w:val="0"/>
      <w:divBdr>
        <w:top w:val="none" w:sz="0" w:space="0" w:color="auto"/>
        <w:left w:val="none" w:sz="0" w:space="0" w:color="auto"/>
        <w:bottom w:val="none" w:sz="0" w:space="0" w:color="auto"/>
        <w:right w:val="none" w:sz="0" w:space="0" w:color="auto"/>
      </w:divBdr>
    </w:div>
    <w:div w:id="1302728416">
      <w:bodyDiv w:val="1"/>
      <w:marLeft w:val="0"/>
      <w:marRight w:val="0"/>
      <w:marTop w:val="0"/>
      <w:marBottom w:val="0"/>
      <w:divBdr>
        <w:top w:val="none" w:sz="0" w:space="0" w:color="auto"/>
        <w:left w:val="none" w:sz="0" w:space="0" w:color="auto"/>
        <w:bottom w:val="none" w:sz="0" w:space="0" w:color="auto"/>
        <w:right w:val="none" w:sz="0" w:space="0" w:color="auto"/>
      </w:divBdr>
    </w:div>
    <w:div w:id="1315573712">
      <w:bodyDiv w:val="1"/>
      <w:marLeft w:val="0"/>
      <w:marRight w:val="0"/>
      <w:marTop w:val="0"/>
      <w:marBottom w:val="0"/>
      <w:divBdr>
        <w:top w:val="none" w:sz="0" w:space="0" w:color="auto"/>
        <w:left w:val="none" w:sz="0" w:space="0" w:color="auto"/>
        <w:bottom w:val="none" w:sz="0" w:space="0" w:color="auto"/>
        <w:right w:val="none" w:sz="0" w:space="0" w:color="auto"/>
      </w:divBdr>
      <w:divsChild>
        <w:div w:id="1114859799">
          <w:marLeft w:val="0"/>
          <w:marRight w:val="0"/>
          <w:marTop w:val="0"/>
          <w:marBottom w:val="0"/>
          <w:divBdr>
            <w:top w:val="none" w:sz="0" w:space="0" w:color="auto"/>
            <w:left w:val="none" w:sz="0" w:space="0" w:color="auto"/>
            <w:bottom w:val="none" w:sz="0" w:space="0" w:color="auto"/>
            <w:right w:val="none" w:sz="0" w:space="0" w:color="auto"/>
          </w:divBdr>
        </w:div>
      </w:divsChild>
    </w:div>
    <w:div w:id="1316841242">
      <w:bodyDiv w:val="1"/>
      <w:marLeft w:val="0"/>
      <w:marRight w:val="0"/>
      <w:marTop w:val="0"/>
      <w:marBottom w:val="0"/>
      <w:divBdr>
        <w:top w:val="none" w:sz="0" w:space="0" w:color="auto"/>
        <w:left w:val="none" w:sz="0" w:space="0" w:color="auto"/>
        <w:bottom w:val="none" w:sz="0" w:space="0" w:color="auto"/>
        <w:right w:val="none" w:sz="0" w:space="0" w:color="auto"/>
      </w:divBdr>
    </w:div>
    <w:div w:id="1342122981">
      <w:bodyDiv w:val="1"/>
      <w:marLeft w:val="0"/>
      <w:marRight w:val="0"/>
      <w:marTop w:val="0"/>
      <w:marBottom w:val="0"/>
      <w:divBdr>
        <w:top w:val="none" w:sz="0" w:space="0" w:color="auto"/>
        <w:left w:val="none" w:sz="0" w:space="0" w:color="auto"/>
        <w:bottom w:val="none" w:sz="0" w:space="0" w:color="auto"/>
        <w:right w:val="none" w:sz="0" w:space="0" w:color="auto"/>
      </w:divBdr>
    </w:div>
    <w:div w:id="1353334756">
      <w:bodyDiv w:val="1"/>
      <w:marLeft w:val="0"/>
      <w:marRight w:val="0"/>
      <w:marTop w:val="0"/>
      <w:marBottom w:val="0"/>
      <w:divBdr>
        <w:top w:val="none" w:sz="0" w:space="0" w:color="auto"/>
        <w:left w:val="none" w:sz="0" w:space="0" w:color="auto"/>
        <w:bottom w:val="none" w:sz="0" w:space="0" w:color="auto"/>
        <w:right w:val="none" w:sz="0" w:space="0" w:color="auto"/>
      </w:divBdr>
    </w:div>
    <w:div w:id="1365711194">
      <w:bodyDiv w:val="1"/>
      <w:marLeft w:val="0"/>
      <w:marRight w:val="0"/>
      <w:marTop w:val="0"/>
      <w:marBottom w:val="0"/>
      <w:divBdr>
        <w:top w:val="none" w:sz="0" w:space="0" w:color="auto"/>
        <w:left w:val="none" w:sz="0" w:space="0" w:color="auto"/>
        <w:bottom w:val="none" w:sz="0" w:space="0" w:color="auto"/>
        <w:right w:val="none" w:sz="0" w:space="0" w:color="auto"/>
      </w:divBdr>
    </w:div>
    <w:div w:id="1383870498">
      <w:bodyDiv w:val="1"/>
      <w:marLeft w:val="0"/>
      <w:marRight w:val="0"/>
      <w:marTop w:val="0"/>
      <w:marBottom w:val="0"/>
      <w:divBdr>
        <w:top w:val="none" w:sz="0" w:space="0" w:color="auto"/>
        <w:left w:val="none" w:sz="0" w:space="0" w:color="auto"/>
        <w:bottom w:val="none" w:sz="0" w:space="0" w:color="auto"/>
        <w:right w:val="none" w:sz="0" w:space="0" w:color="auto"/>
      </w:divBdr>
    </w:div>
    <w:div w:id="1427650176">
      <w:bodyDiv w:val="1"/>
      <w:marLeft w:val="0"/>
      <w:marRight w:val="0"/>
      <w:marTop w:val="0"/>
      <w:marBottom w:val="0"/>
      <w:divBdr>
        <w:top w:val="none" w:sz="0" w:space="0" w:color="auto"/>
        <w:left w:val="none" w:sz="0" w:space="0" w:color="auto"/>
        <w:bottom w:val="none" w:sz="0" w:space="0" w:color="auto"/>
        <w:right w:val="none" w:sz="0" w:space="0" w:color="auto"/>
      </w:divBdr>
      <w:divsChild>
        <w:div w:id="1154029874">
          <w:marLeft w:val="274"/>
          <w:marRight w:val="0"/>
          <w:marTop w:val="0"/>
          <w:marBottom w:val="0"/>
          <w:divBdr>
            <w:top w:val="none" w:sz="0" w:space="0" w:color="auto"/>
            <w:left w:val="none" w:sz="0" w:space="0" w:color="auto"/>
            <w:bottom w:val="none" w:sz="0" w:space="0" w:color="auto"/>
            <w:right w:val="none" w:sz="0" w:space="0" w:color="auto"/>
          </w:divBdr>
        </w:div>
        <w:div w:id="1817527963">
          <w:marLeft w:val="274"/>
          <w:marRight w:val="0"/>
          <w:marTop w:val="0"/>
          <w:marBottom w:val="0"/>
          <w:divBdr>
            <w:top w:val="none" w:sz="0" w:space="0" w:color="auto"/>
            <w:left w:val="none" w:sz="0" w:space="0" w:color="auto"/>
            <w:bottom w:val="none" w:sz="0" w:space="0" w:color="auto"/>
            <w:right w:val="none" w:sz="0" w:space="0" w:color="auto"/>
          </w:divBdr>
        </w:div>
        <w:div w:id="1071928714">
          <w:marLeft w:val="274"/>
          <w:marRight w:val="0"/>
          <w:marTop w:val="0"/>
          <w:marBottom w:val="0"/>
          <w:divBdr>
            <w:top w:val="none" w:sz="0" w:space="0" w:color="auto"/>
            <w:left w:val="none" w:sz="0" w:space="0" w:color="auto"/>
            <w:bottom w:val="none" w:sz="0" w:space="0" w:color="auto"/>
            <w:right w:val="none" w:sz="0" w:space="0" w:color="auto"/>
          </w:divBdr>
        </w:div>
        <w:div w:id="36707015">
          <w:marLeft w:val="274"/>
          <w:marRight w:val="0"/>
          <w:marTop w:val="0"/>
          <w:marBottom w:val="0"/>
          <w:divBdr>
            <w:top w:val="none" w:sz="0" w:space="0" w:color="auto"/>
            <w:left w:val="none" w:sz="0" w:space="0" w:color="auto"/>
            <w:bottom w:val="none" w:sz="0" w:space="0" w:color="auto"/>
            <w:right w:val="none" w:sz="0" w:space="0" w:color="auto"/>
          </w:divBdr>
        </w:div>
      </w:divsChild>
    </w:div>
    <w:div w:id="1463187666">
      <w:bodyDiv w:val="1"/>
      <w:marLeft w:val="0"/>
      <w:marRight w:val="0"/>
      <w:marTop w:val="0"/>
      <w:marBottom w:val="0"/>
      <w:divBdr>
        <w:top w:val="none" w:sz="0" w:space="0" w:color="auto"/>
        <w:left w:val="none" w:sz="0" w:space="0" w:color="auto"/>
        <w:bottom w:val="none" w:sz="0" w:space="0" w:color="auto"/>
        <w:right w:val="none" w:sz="0" w:space="0" w:color="auto"/>
      </w:divBdr>
    </w:div>
    <w:div w:id="1522932703">
      <w:bodyDiv w:val="1"/>
      <w:marLeft w:val="0"/>
      <w:marRight w:val="0"/>
      <w:marTop w:val="0"/>
      <w:marBottom w:val="0"/>
      <w:divBdr>
        <w:top w:val="none" w:sz="0" w:space="0" w:color="auto"/>
        <w:left w:val="none" w:sz="0" w:space="0" w:color="auto"/>
        <w:bottom w:val="none" w:sz="0" w:space="0" w:color="auto"/>
        <w:right w:val="none" w:sz="0" w:space="0" w:color="auto"/>
      </w:divBdr>
      <w:divsChild>
        <w:div w:id="924345659">
          <w:marLeft w:val="0"/>
          <w:marRight w:val="0"/>
          <w:marTop w:val="0"/>
          <w:marBottom w:val="0"/>
          <w:divBdr>
            <w:top w:val="none" w:sz="0" w:space="0" w:color="auto"/>
            <w:left w:val="none" w:sz="0" w:space="0" w:color="auto"/>
            <w:bottom w:val="none" w:sz="0" w:space="0" w:color="auto"/>
            <w:right w:val="none" w:sz="0" w:space="0" w:color="auto"/>
          </w:divBdr>
        </w:div>
        <w:div w:id="1982616231">
          <w:marLeft w:val="0"/>
          <w:marRight w:val="0"/>
          <w:marTop w:val="0"/>
          <w:marBottom w:val="0"/>
          <w:divBdr>
            <w:top w:val="none" w:sz="0" w:space="0" w:color="auto"/>
            <w:left w:val="none" w:sz="0" w:space="0" w:color="auto"/>
            <w:bottom w:val="none" w:sz="0" w:space="0" w:color="auto"/>
            <w:right w:val="none" w:sz="0" w:space="0" w:color="auto"/>
          </w:divBdr>
          <w:divsChild>
            <w:div w:id="242959598">
              <w:marLeft w:val="0"/>
              <w:marRight w:val="0"/>
              <w:marTop w:val="0"/>
              <w:marBottom w:val="0"/>
              <w:divBdr>
                <w:top w:val="none" w:sz="0" w:space="0" w:color="auto"/>
                <w:left w:val="none" w:sz="0" w:space="0" w:color="auto"/>
                <w:bottom w:val="none" w:sz="0" w:space="0" w:color="auto"/>
                <w:right w:val="none" w:sz="0" w:space="0" w:color="auto"/>
              </w:divBdr>
              <w:divsChild>
                <w:div w:id="145281935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056002010">
          <w:marLeft w:val="0"/>
          <w:marRight w:val="0"/>
          <w:marTop w:val="0"/>
          <w:marBottom w:val="0"/>
          <w:divBdr>
            <w:top w:val="none" w:sz="0" w:space="0" w:color="auto"/>
            <w:left w:val="none" w:sz="0" w:space="0" w:color="auto"/>
            <w:bottom w:val="none" w:sz="0" w:space="0" w:color="auto"/>
            <w:right w:val="none" w:sz="0" w:space="0" w:color="auto"/>
          </w:divBdr>
        </w:div>
      </w:divsChild>
    </w:div>
    <w:div w:id="1536502664">
      <w:bodyDiv w:val="1"/>
      <w:marLeft w:val="0"/>
      <w:marRight w:val="0"/>
      <w:marTop w:val="0"/>
      <w:marBottom w:val="0"/>
      <w:divBdr>
        <w:top w:val="none" w:sz="0" w:space="0" w:color="auto"/>
        <w:left w:val="none" w:sz="0" w:space="0" w:color="auto"/>
        <w:bottom w:val="none" w:sz="0" w:space="0" w:color="auto"/>
        <w:right w:val="none" w:sz="0" w:space="0" w:color="auto"/>
      </w:divBdr>
    </w:div>
    <w:div w:id="1781871866">
      <w:bodyDiv w:val="1"/>
      <w:marLeft w:val="0"/>
      <w:marRight w:val="0"/>
      <w:marTop w:val="0"/>
      <w:marBottom w:val="0"/>
      <w:divBdr>
        <w:top w:val="none" w:sz="0" w:space="0" w:color="auto"/>
        <w:left w:val="none" w:sz="0" w:space="0" w:color="auto"/>
        <w:bottom w:val="none" w:sz="0" w:space="0" w:color="auto"/>
        <w:right w:val="none" w:sz="0" w:space="0" w:color="auto"/>
      </w:divBdr>
    </w:div>
    <w:div w:id="1806972643">
      <w:bodyDiv w:val="1"/>
      <w:marLeft w:val="0"/>
      <w:marRight w:val="0"/>
      <w:marTop w:val="0"/>
      <w:marBottom w:val="0"/>
      <w:divBdr>
        <w:top w:val="none" w:sz="0" w:space="0" w:color="auto"/>
        <w:left w:val="none" w:sz="0" w:space="0" w:color="auto"/>
        <w:bottom w:val="none" w:sz="0" w:space="0" w:color="auto"/>
        <w:right w:val="none" w:sz="0" w:space="0" w:color="auto"/>
      </w:divBdr>
    </w:div>
    <w:div w:id="1853490698">
      <w:bodyDiv w:val="1"/>
      <w:marLeft w:val="0"/>
      <w:marRight w:val="0"/>
      <w:marTop w:val="0"/>
      <w:marBottom w:val="0"/>
      <w:divBdr>
        <w:top w:val="none" w:sz="0" w:space="0" w:color="auto"/>
        <w:left w:val="none" w:sz="0" w:space="0" w:color="auto"/>
        <w:bottom w:val="none" w:sz="0" w:space="0" w:color="auto"/>
        <w:right w:val="none" w:sz="0" w:space="0" w:color="auto"/>
      </w:divBdr>
    </w:div>
    <w:div w:id="1872377290">
      <w:bodyDiv w:val="1"/>
      <w:marLeft w:val="0"/>
      <w:marRight w:val="0"/>
      <w:marTop w:val="0"/>
      <w:marBottom w:val="0"/>
      <w:divBdr>
        <w:top w:val="none" w:sz="0" w:space="0" w:color="auto"/>
        <w:left w:val="none" w:sz="0" w:space="0" w:color="auto"/>
        <w:bottom w:val="none" w:sz="0" w:space="0" w:color="auto"/>
        <w:right w:val="none" w:sz="0" w:space="0" w:color="auto"/>
      </w:divBdr>
    </w:div>
    <w:div w:id="19122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rscotland.gov.uk/statistics-and-data/statistics/statistics-by-theme/vital-events/deaths" TargetMode="External"/><Relationship Id="rId18" Type="http://schemas.openxmlformats.org/officeDocument/2006/relationships/hyperlink" Target="https://www.publichealthscotland.scot/our-areas-of-work/sharing-our-data-and-intelligence/coronavirus-covid-19-data-and-guid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rscotland.gov.uk/statistics-and-data/statistics/statistics-by-theme/vital-events/deaths" TargetMode="External"/><Relationship Id="rId17" Type="http://schemas.openxmlformats.org/officeDocument/2006/relationships/hyperlink" Target="https://beta.isdscotland.org/find-publications-and-data/population-health/covid-19/covid-19-statistical-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healthcareimprovementscotland.org/our_work/inspecting_and_regulating_care/nhs_hospitals_and_services/find_nhs_hospital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s://www.hps.scot.nhs.uk/web-resources-container/quarterly-epidemiological-data-on-clostridioides-difficile-infection-escherichia-coli-bacteraemia-staphylococcus-aureus-bacteraemia-and-surgical-site-infection-in-scotland-april-to-june-2021-q2-2021/" TargetMode="External"/><Relationship Id="rId19" Type="http://schemas.openxmlformats.org/officeDocument/2006/relationships/hyperlink" Target="https://www.nhsggc.org.uk/your-health/infection-prevention-and-control/reports-and-publications/hai-reports-hairt/"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6E79-8BDB-490D-B246-B0B12F39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3880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Draft Paper: Independent Reports into care Outwith NHS GG&amp;C</vt:lpstr>
    </vt:vector>
  </TitlesOfParts>
  <Company>Glasgow Hospitals</Company>
  <LinksUpToDate>false</LinksUpToDate>
  <CharactersWithSpaces>27086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Paper: Independent Reports into care Outwith NHS GG&amp;C</dc:title>
  <dc:creator>Ann Kerr</dc:creator>
  <cp:lastModifiedBy>Haynes, Jennifer</cp:lastModifiedBy>
  <cp:revision>8</cp:revision>
  <cp:lastPrinted>2021-07-14T08:16:00Z</cp:lastPrinted>
  <dcterms:created xsi:type="dcterms:W3CDTF">2021-11-29T13:56:00Z</dcterms:created>
  <dcterms:modified xsi:type="dcterms:W3CDTF">2021-12-14T19:15:00Z</dcterms:modified>
</cp:coreProperties>
</file>