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5C" w:rsidRPr="002F3B5D" w:rsidRDefault="004E4805" w:rsidP="00AD5FBA">
      <w:pPr>
        <w:spacing w:line="276" w:lineRule="auto"/>
        <w:jc w:val="left"/>
        <w:rPr>
          <w:rFonts w:ascii="Arial" w:hAnsi="Arial" w:cs="Arial"/>
          <w:sz w:val="20"/>
          <w:szCs w:val="21"/>
        </w:rPr>
      </w:pPr>
      <w:r w:rsidRPr="002F3B5D">
        <w:rPr>
          <w:rFonts w:ascii="Arial" w:hAnsi="Arial" w:cs="Arial"/>
          <w:sz w:val="20"/>
          <w:szCs w:val="21"/>
        </w:rPr>
        <w:t xml:space="preserve">The following </w:t>
      </w:r>
      <w:r w:rsidR="0060245C" w:rsidRPr="002F3B5D">
        <w:rPr>
          <w:rFonts w:ascii="Arial" w:hAnsi="Arial" w:cs="Arial"/>
          <w:sz w:val="20"/>
          <w:szCs w:val="21"/>
        </w:rPr>
        <w:t>guidance describes the scoping criteria for the</w:t>
      </w:r>
      <w:r w:rsidR="002F3B5D">
        <w:rPr>
          <w:rFonts w:ascii="Arial" w:hAnsi="Arial" w:cs="Arial"/>
          <w:sz w:val="20"/>
          <w:szCs w:val="21"/>
        </w:rPr>
        <w:t xml:space="preserve"> Sharps, </w:t>
      </w:r>
      <w:proofErr w:type="gramStart"/>
      <w:r w:rsidR="002F3B5D">
        <w:rPr>
          <w:rFonts w:ascii="Arial" w:hAnsi="Arial" w:cs="Arial"/>
          <w:sz w:val="20"/>
          <w:szCs w:val="21"/>
        </w:rPr>
        <w:t>Falls</w:t>
      </w:r>
      <w:proofErr w:type="gramEnd"/>
      <w:r w:rsidR="002F3B5D">
        <w:rPr>
          <w:rFonts w:ascii="Arial" w:hAnsi="Arial" w:cs="Arial"/>
          <w:sz w:val="20"/>
          <w:szCs w:val="21"/>
        </w:rPr>
        <w:t xml:space="preserve"> and Moving &amp; Handling </w:t>
      </w:r>
      <w:r w:rsidR="0060245C" w:rsidRPr="002F3B5D">
        <w:rPr>
          <w:rFonts w:ascii="Arial" w:hAnsi="Arial" w:cs="Arial"/>
          <w:sz w:val="20"/>
          <w:szCs w:val="21"/>
        </w:rPr>
        <w:t>programmes, that is, who should participate:</w:t>
      </w: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394"/>
        <w:gridCol w:w="4110"/>
        <w:gridCol w:w="2693"/>
        <w:gridCol w:w="1701"/>
      </w:tblGrid>
      <w:tr w:rsidR="00EE35AD" w:rsidRPr="00E541B5" w:rsidTr="00EE35AD">
        <w:trPr>
          <w:trHeight w:val="340"/>
          <w:tblHeader/>
        </w:trPr>
        <w:tc>
          <w:tcPr>
            <w:tcW w:w="1980" w:type="dxa"/>
            <w:shd w:val="clear" w:color="auto" w:fill="DAEEF3"/>
            <w:vAlign w:val="center"/>
          </w:tcPr>
          <w:p w:rsidR="00EE35AD" w:rsidRPr="00E541B5" w:rsidRDefault="00EE35AD" w:rsidP="00EE35A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E541B5">
              <w:rPr>
                <w:rFonts w:ascii="Arial" w:hAnsi="Arial" w:cs="Arial"/>
                <w:b/>
                <w:sz w:val="20"/>
              </w:rPr>
              <w:t>Topic Area</w:t>
            </w:r>
          </w:p>
        </w:tc>
        <w:tc>
          <w:tcPr>
            <w:tcW w:w="4394" w:type="dxa"/>
            <w:shd w:val="clear" w:color="auto" w:fill="DAEEF3"/>
            <w:vAlign w:val="center"/>
          </w:tcPr>
          <w:p w:rsidR="00EE35AD" w:rsidRPr="00E541B5" w:rsidRDefault="00EE35AD" w:rsidP="00EE35A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Pr="00E541B5">
              <w:rPr>
                <w:rFonts w:ascii="Arial" w:hAnsi="Arial" w:cs="Arial"/>
                <w:b/>
                <w:sz w:val="20"/>
              </w:rPr>
              <w:t>raining</w:t>
            </w:r>
            <w:r>
              <w:rPr>
                <w:rFonts w:ascii="Arial" w:hAnsi="Arial" w:cs="Arial"/>
                <w:b/>
                <w:sz w:val="20"/>
              </w:rPr>
              <w:t xml:space="preserve"> Programme</w:t>
            </w:r>
          </w:p>
        </w:tc>
        <w:tc>
          <w:tcPr>
            <w:tcW w:w="4110" w:type="dxa"/>
            <w:shd w:val="clear" w:color="auto" w:fill="DAEEF3"/>
            <w:vAlign w:val="center"/>
          </w:tcPr>
          <w:p w:rsidR="00EE35AD" w:rsidRPr="00E541B5" w:rsidRDefault="00EE35AD" w:rsidP="00EE35A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Staff In-Scope 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EE35AD" w:rsidRPr="00E541B5" w:rsidRDefault="00EE35AD" w:rsidP="00EE35A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E541B5">
              <w:rPr>
                <w:rFonts w:ascii="Arial" w:hAnsi="Arial" w:cs="Arial"/>
                <w:b/>
                <w:sz w:val="20"/>
              </w:rPr>
              <w:t>Purpose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EE35AD" w:rsidRPr="00E541B5" w:rsidRDefault="00EE35AD" w:rsidP="00EE35A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Validity Period</w:t>
            </w:r>
          </w:p>
        </w:tc>
      </w:tr>
      <w:tr w:rsidR="00EE35AD" w:rsidRPr="006C1966" w:rsidTr="00EE35AD">
        <w:trPr>
          <w:trHeight w:val="1148"/>
        </w:trPr>
        <w:tc>
          <w:tcPr>
            <w:tcW w:w="1980" w:type="dxa"/>
            <w:vMerge w:val="restart"/>
            <w:vAlign w:val="center"/>
          </w:tcPr>
          <w:p w:rsidR="00EE35AD" w:rsidRPr="006C1966" w:rsidRDefault="00EE35AD" w:rsidP="00EE35A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Management of Sharps Injuries</w:t>
            </w:r>
          </w:p>
        </w:tc>
        <w:tc>
          <w:tcPr>
            <w:tcW w:w="4394" w:type="dxa"/>
            <w:vAlign w:val="center"/>
          </w:tcPr>
          <w:p w:rsidR="00EE35AD" w:rsidRPr="0057432B" w:rsidRDefault="00EE35AD" w:rsidP="00EE35AD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7432B">
              <w:rPr>
                <w:rFonts w:ascii="Arial" w:hAnsi="Arial" w:cs="Arial"/>
                <w:color w:val="000000"/>
                <w:sz w:val="20"/>
              </w:rPr>
              <w:t>LearnPro</w:t>
            </w:r>
          </w:p>
          <w:p w:rsidR="00EE35AD" w:rsidRPr="0057432B" w:rsidRDefault="00EE35AD" w:rsidP="00EE35AD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7" w:hanging="267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7432B">
              <w:rPr>
                <w:rFonts w:ascii="Arial" w:hAnsi="Arial" w:cs="Arial"/>
                <w:color w:val="000000"/>
                <w:sz w:val="20"/>
              </w:rPr>
              <w:t xml:space="preserve">Tab – ‘Role Specific Mandatory Modules’ </w:t>
            </w:r>
          </w:p>
          <w:p w:rsidR="00EE35AD" w:rsidRDefault="00EE35AD" w:rsidP="00EE35AD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7" w:hanging="267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7432B">
              <w:rPr>
                <w:rFonts w:ascii="Arial" w:hAnsi="Arial" w:cs="Arial"/>
                <w:color w:val="000000"/>
                <w:sz w:val="20"/>
              </w:rPr>
              <w:t>Module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Name</w:t>
            </w:r>
            <w:r w:rsidRPr="0057432B">
              <w:rPr>
                <w:rFonts w:ascii="Arial" w:hAnsi="Arial" w:cs="Arial"/>
                <w:color w:val="000000"/>
                <w:sz w:val="20"/>
              </w:rPr>
              <w:t xml:space="preserve"> – ‘GGC: Management of </w:t>
            </w:r>
            <w:proofErr w:type="spellStart"/>
            <w:r w:rsidRPr="0057432B">
              <w:rPr>
                <w:rFonts w:ascii="Arial" w:hAnsi="Arial" w:cs="Arial"/>
                <w:color w:val="000000"/>
                <w:sz w:val="20"/>
              </w:rPr>
              <w:t>Needlestick</w:t>
            </w:r>
            <w:proofErr w:type="spellEnd"/>
            <w:r w:rsidRPr="0057432B">
              <w:rPr>
                <w:rFonts w:ascii="Arial" w:hAnsi="Arial" w:cs="Arial"/>
                <w:color w:val="000000"/>
                <w:sz w:val="20"/>
              </w:rPr>
              <w:t xml:space="preserve"> &amp; Similar Injuries’</w:t>
            </w:r>
          </w:p>
          <w:p w:rsidR="00EE35AD" w:rsidRPr="002F3B5D" w:rsidRDefault="00EE35AD" w:rsidP="00EE35A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NB Facilities staff will receive face to face training</w:t>
            </w:r>
          </w:p>
        </w:tc>
        <w:tc>
          <w:tcPr>
            <w:tcW w:w="4110" w:type="dxa"/>
            <w:vAlign w:val="center"/>
          </w:tcPr>
          <w:p w:rsidR="00EE35AD" w:rsidRPr="006400D1" w:rsidRDefault="00EE35AD" w:rsidP="00EE35A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400D1">
              <w:rPr>
                <w:rFonts w:ascii="Arial" w:hAnsi="Arial" w:cs="Arial"/>
                <w:sz w:val="20"/>
              </w:rPr>
              <w:t>All staff who may come in contact with a healthcare related sharp, including those w</w:t>
            </w:r>
            <w:r>
              <w:rPr>
                <w:rFonts w:ascii="Arial" w:hAnsi="Arial" w:cs="Arial"/>
                <w:sz w:val="20"/>
              </w:rPr>
              <w:t>h</w:t>
            </w:r>
            <w:r w:rsidRPr="006400D1">
              <w:rPr>
                <w:rFonts w:ascii="Arial" w:hAnsi="Arial" w:cs="Arial"/>
                <w:sz w:val="20"/>
              </w:rPr>
              <w:t xml:space="preserve">o use them (needles, blades </w:t>
            </w:r>
            <w:proofErr w:type="spellStart"/>
            <w:r w:rsidRPr="006400D1">
              <w:rPr>
                <w:rFonts w:ascii="Arial" w:hAnsi="Arial" w:cs="Arial"/>
                <w:sz w:val="20"/>
              </w:rPr>
              <w:t>etc</w:t>
            </w:r>
            <w:proofErr w:type="spellEnd"/>
            <w:r w:rsidRPr="006400D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EE35AD" w:rsidRPr="00B71B3C" w:rsidRDefault="00EE35AD" w:rsidP="00EE35AD">
            <w:pPr>
              <w:shd w:val="clear" w:color="auto" w:fill="FFFFFF"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To inform staff of what</w:t>
            </w:r>
            <w:r w:rsidRPr="00B71B3C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they must do if they</w:t>
            </w:r>
            <w:r w:rsidRPr="00B71B3C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receive a sharps or body fluid splash injury in the workplace. </w:t>
            </w:r>
          </w:p>
        </w:tc>
        <w:tc>
          <w:tcPr>
            <w:tcW w:w="1701" w:type="dxa"/>
            <w:vAlign w:val="center"/>
          </w:tcPr>
          <w:p w:rsidR="00EE35AD" w:rsidRPr="0057432B" w:rsidRDefault="00EE35AD" w:rsidP="00EE35A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7432B">
              <w:rPr>
                <w:rFonts w:ascii="Arial" w:hAnsi="Arial" w:cs="Arial"/>
                <w:sz w:val="20"/>
              </w:rPr>
              <w:t>2 year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EE35AD" w:rsidRPr="006C1966" w:rsidTr="00EE35AD">
        <w:trPr>
          <w:trHeight w:val="671"/>
        </w:trPr>
        <w:tc>
          <w:tcPr>
            <w:tcW w:w="1980" w:type="dxa"/>
            <w:vMerge/>
            <w:vAlign w:val="center"/>
          </w:tcPr>
          <w:p w:rsidR="00EE35AD" w:rsidRPr="006C1966" w:rsidRDefault="00EE35AD" w:rsidP="00EE35A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EE35AD" w:rsidRPr="00B17C84" w:rsidRDefault="00EE35AD" w:rsidP="00EE35A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7C84">
              <w:rPr>
                <w:rFonts w:ascii="Arial" w:hAnsi="Arial" w:cs="Arial"/>
                <w:color w:val="000000"/>
                <w:sz w:val="20"/>
              </w:rPr>
              <w:t>LearnPro:</w:t>
            </w:r>
          </w:p>
          <w:p w:rsidR="00EE35AD" w:rsidRPr="00B71B3C" w:rsidRDefault="00EE35AD" w:rsidP="00EE35AD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6" w:hanging="266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 xml:space="preserve">Tab – ‘Infection Prevention and Control’  </w:t>
            </w:r>
          </w:p>
          <w:p w:rsidR="00EE35AD" w:rsidRPr="00B71B3C" w:rsidRDefault="00EE35AD" w:rsidP="00EE35AD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6" w:hanging="266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 xml:space="preserve">Course – ‘NES: Scottish IPC Education Pathway’  /  </w:t>
            </w:r>
          </w:p>
          <w:p w:rsidR="00EE35AD" w:rsidRPr="00B71B3C" w:rsidRDefault="00EE35AD" w:rsidP="00EE35AD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6" w:hanging="266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>Module – ‘Prevention and Management of Occupational Exposure’</w:t>
            </w:r>
          </w:p>
        </w:tc>
        <w:tc>
          <w:tcPr>
            <w:tcW w:w="4110" w:type="dxa"/>
            <w:vAlign w:val="center"/>
          </w:tcPr>
          <w:p w:rsidR="00EE35AD" w:rsidRPr="002F3B5D" w:rsidRDefault="00EE35AD" w:rsidP="00EE35A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2F3B5D">
              <w:rPr>
                <w:rFonts w:ascii="Arial" w:hAnsi="Arial" w:cs="Arial"/>
                <w:sz w:val="20"/>
              </w:rPr>
              <w:t xml:space="preserve">All staff who </w:t>
            </w:r>
            <w:r w:rsidRPr="002F3B5D">
              <w:rPr>
                <w:rFonts w:ascii="Arial" w:hAnsi="Arial" w:cs="Arial"/>
                <w:b/>
                <w:sz w:val="20"/>
              </w:rPr>
              <w:t>use</w:t>
            </w:r>
            <w:r w:rsidRPr="002F3B5D">
              <w:rPr>
                <w:rFonts w:ascii="Arial" w:hAnsi="Arial" w:cs="Arial"/>
                <w:sz w:val="20"/>
              </w:rPr>
              <w:t xml:space="preserve"> healthcare related sharps (needles, blades </w:t>
            </w:r>
            <w:proofErr w:type="spellStart"/>
            <w:r w:rsidRPr="002F3B5D">
              <w:rPr>
                <w:rFonts w:ascii="Arial" w:hAnsi="Arial" w:cs="Arial"/>
                <w:sz w:val="20"/>
              </w:rPr>
              <w:t>etc</w:t>
            </w:r>
            <w:proofErr w:type="spellEnd"/>
            <w:r w:rsidRPr="002F3B5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EE35AD" w:rsidRPr="006C1966" w:rsidRDefault="00EE35AD" w:rsidP="00EE35A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equip staff with the knowledge and skills needed to prevent and minimise the risk of acquiring an infection from blood or body fluids</w:t>
            </w:r>
          </w:p>
        </w:tc>
        <w:tc>
          <w:tcPr>
            <w:tcW w:w="1701" w:type="dxa"/>
            <w:vAlign w:val="center"/>
          </w:tcPr>
          <w:p w:rsidR="00EE35AD" w:rsidRPr="0057432B" w:rsidRDefault="00EE35AD" w:rsidP="00EE35A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7432B">
              <w:rPr>
                <w:rFonts w:ascii="Arial" w:hAnsi="Arial" w:cs="Arial"/>
                <w:sz w:val="20"/>
              </w:rPr>
              <w:t>2 year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EE35AD" w:rsidRPr="006C1966" w:rsidTr="002E5393">
        <w:trPr>
          <w:trHeight w:val="1132"/>
        </w:trPr>
        <w:tc>
          <w:tcPr>
            <w:tcW w:w="1980" w:type="dxa"/>
            <w:vAlign w:val="center"/>
          </w:tcPr>
          <w:p w:rsidR="00EE35AD" w:rsidRDefault="00EE35AD" w:rsidP="00EE35AD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Falls Prevention Modules</w:t>
            </w:r>
          </w:p>
        </w:tc>
        <w:tc>
          <w:tcPr>
            <w:tcW w:w="4394" w:type="dxa"/>
            <w:vAlign w:val="center"/>
          </w:tcPr>
          <w:p w:rsidR="00EE35AD" w:rsidRPr="00B17C84" w:rsidRDefault="00EE35AD" w:rsidP="00EE35A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LearnPro:</w:t>
            </w:r>
          </w:p>
          <w:p w:rsidR="00EE35AD" w:rsidRPr="00EE35AD" w:rsidRDefault="00EE35AD" w:rsidP="00EE35A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E35AD">
              <w:rPr>
                <w:rFonts w:ascii="Arial" w:hAnsi="Arial" w:cs="Arial"/>
                <w:color w:val="000000"/>
                <w:sz w:val="20"/>
              </w:rPr>
              <w:t>NB all 6 modules are required for compliance:</w:t>
            </w:r>
          </w:p>
          <w:p w:rsidR="00EE35AD" w:rsidRPr="00B71B3C" w:rsidRDefault="00EE35AD" w:rsidP="00EE35AD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6" w:hanging="266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 xml:space="preserve">Tab – </w:t>
            </w:r>
            <w:r>
              <w:rPr>
                <w:rFonts w:ascii="Arial" w:hAnsi="Arial" w:cs="Arial"/>
                <w:color w:val="000000"/>
                <w:sz w:val="20"/>
              </w:rPr>
              <w:t>‘Role Specific Mandatory Modules’’</w:t>
            </w:r>
          </w:p>
          <w:p w:rsidR="00EE35AD" w:rsidRDefault="00EE35AD" w:rsidP="00EE35AD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6" w:hanging="266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– all 5 modules within ‘GGC:</w:t>
            </w:r>
            <w:r w:rsidRPr="00B71B3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Falls Prevention Training’</w:t>
            </w:r>
          </w:p>
          <w:p w:rsidR="00EE35AD" w:rsidRPr="002F3B5D" w:rsidRDefault="00EE35AD" w:rsidP="00EE35AD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6" w:hanging="266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– module ‘GGC: 221 Bedrails’</w:t>
            </w:r>
          </w:p>
        </w:tc>
        <w:tc>
          <w:tcPr>
            <w:tcW w:w="4110" w:type="dxa"/>
          </w:tcPr>
          <w:p w:rsidR="00EE35AD" w:rsidRPr="0007565F" w:rsidRDefault="00EE35AD" w:rsidP="00EE35AD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following staff groups working within adult hospital, inpatient areas:</w:t>
            </w:r>
          </w:p>
          <w:p w:rsidR="00EE35AD" w:rsidRDefault="00EE35AD" w:rsidP="00EE35AD">
            <w:pPr>
              <w:pStyle w:val="ListParagraph"/>
              <w:numPr>
                <w:ilvl w:val="0"/>
                <w:numId w:val="37"/>
              </w:numPr>
              <w:spacing w:after="0"/>
              <w:ind w:left="31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Nursing s</w:t>
            </w:r>
            <w:r w:rsidRPr="0007565F">
              <w:rPr>
                <w:rFonts w:ascii="Arial" w:hAnsi="Arial" w:cs="Arial"/>
                <w:sz w:val="20"/>
              </w:rPr>
              <w:t>taff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E35AD" w:rsidRPr="0007565F" w:rsidRDefault="00EE35AD" w:rsidP="00EE35AD">
            <w:pPr>
              <w:pStyle w:val="ListParagraph"/>
              <w:numPr>
                <w:ilvl w:val="0"/>
                <w:numId w:val="37"/>
              </w:numPr>
              <w:spacing w:after="0"/>
              <w:ind w:left="31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AHP staff</w:t>
            </w:r>
          </w:p>
          <w:p w:rsidR="00EE35AD" w:rsidRDefault="00EE35AD" w:rsidP="00EE35AD">
            <w:pPr>
              <w:pStyle w:val="ListParagraph"/>
              <w:numPr>
                <w:ilvl w:val="0"/>
                <w:numId w:val="37"/>
              </w:numPr>
              <w:spacing w:after="0"/>
              <w:ind w:left="317"/>
              <w:jc w:val="left"/>
              <w:rPr>
                <w:rFonts w:ascii="Arial" w:hAnsi="Arial" w:cs="Arial"/>
                <w:sz w:val="20"/>
              </w:rPr>
            </w:pPr>
            <w:r w:rsidRPr="0007565F">
              <w:rPr>
                <w:rFonts w:ascii="Arial" w:hAnsi="Arial" w:cs="Arial"/>
                <w:sz w:val="20"/>
              </w:rPr>
              <w:t xml:space="preserve">Medical Staff </w:t>
            </w:r>
            <w:r>
              <w:rPr>
                <w:rFonts w:ascii="Arial" w:hAnsi="Arial" w:cs="Arial"/>
                <w:sz w:val="20"/>
              </w:rPr>
              <w:t>–</w:t>
            </w:r>
            <w:r w:rsidRPr="0007565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all Training Grades.</w:t>
            </w:r>
          </w:p>
          <w:p w:rsidR="00EE35AD" w:rsidRPr="00A520DC" w:rsidRDefault="00EE35AD" w:rsidP="00EE35AD">
            <w:pPr>
              <w:pStyle w:val="ListParagraph"/>
              <w:spacing w:after="0"/>
              <w:ind w:left="31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Consultants who respond to and / or are involved in management of patient falls</w:t>
            </w:r>
          </w:p>
        </w:tc>
        <w:tc>
          <w:tcPr>
            <w:tcW w:w="2693" w:type="dxa"/>
            <w:vAlign w:val="center"/>
          </w:tcPr>
          <w:p w:rsidR="00EE35AD" w:rsidRPr="006C1966" w:rsidRDefault="00EE35AD" w:rsidP="00EE35A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equip staff with the knowledge and skills needed to prevent and minimise the risk of falls and actions to be taken after a fall has occurred</w:t>
            </w:r>
          </w:p>
        </w:tc>
        <w:tc>
          <w:tcPr>
            <w:tcW w:w="1701" w:type="dxa"/>
            <w:vAlign w:val="center"/>
          </w:tcPr>
          <w:p w:rsidR="00EE35AD" w:rsidRPr="006C1966" w:rsidRDefault="00EE35AD" w:rsidP="00EE35AD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years</w:t>
            </w:r>
          </w:p>
          <w:p w:rsidR="00EE35AD" w:rsidRDefault="00EE35AD" w:rsidP="00EE35AD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E35AD" w:rsidRPr="006C1966" w:rsidTr="00EE35AD">
        <w:trPr>
          <w:trHeight w:val="691"/>
        </w:trPr>
        <w:tc>
          <w:tcPr>
            <w:tcW w:w="1980" w:type="dxa"/>
            <w:vAlign w:val="center"/>
          </w:tcPr>
          <w:p w:rsidR="00EE35AD" w:rsidRPr="006C1966" w:rsidRDefault="00EE35AD" w:rsidP="00EE35A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Moving &amp; Handling</w:t>
            </w:r>
            <w:r>
              <w:rPr>
                <w:rFonts w:ascii="Arial" w:hAnsi="Arial" w:cs="Arial"/>
                <w:sz w:val="20"/>
              </w:rPr>
              <w:t xml:space="preserve"> Competency Assessment</w:t>
            </w:r>
          </w:p>
        </w:tc>
        <w:tc>
          <w:tcPr>
            <w:tcW w:w="4394" w:type="dxa"/>
            <w:vAlign w:val="center"/>
          </w:tcPr>
          <w:p w:rsidR="00EE35AD" w:rsidRPr="006C1966" w:rsidRDefault="00EE35AD" w:rsidP="00EE35A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Through locally based Moving and Handling Competency Assessors</w:t>
            </w:r>
          </w:p>
        </w:tc>
        <w:tc>
          <w:tcPr>
            <w:tcW w:w="4110" w:type="dxa"/>
            <w:vAlign w:val="center"/>
          </w:tcPr>
          <w:p w:rsidR="00EE35AD" w:rsidRPr="006C1966" w:rsidRDefault="00EE35AD" w:rsidP="00EE35A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Nursing and AHP staff identified as assisting people to move or transfer</w:t>
            </w:r>
          </w:p>
        </w:tc>
        <w:tc>
          <w:tcPr>
            <w:tcW w:w="2693" w:type="dxa"/>
            <w:vAlign w:val="center"/>
          </w:tcPr>
          <w:p w:rsidR="00EE35AD" w:rsidRPr="00A02511" w:rsidRDefault="00EE35AD" w:rsidP="00EE35A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identify skills gaps requiring additional learning</w:t>
            </w:r>
          </w:p>
        </w:tc>
        <w:tc>
          <w:tcPr>
            <w:tcW w:w="1701" w:type="dxa"/>
            <w:vAlign w:val="center"/>
          </w:tcPr>
          <w:p w:rsidR="00EE35AD" w:rsidRPr="006C1966" w:rsidRDefault="00EE35AD" w:rsidP="00EE35A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12-18 months </w:t>
            </w:r>
            <w:r w:rsidRPr="00535FFC">
              <w:rPr>
                <w:rFonts w:ascii="Arial" w:hAnsi="Arial" w:cs="Arial"/>
                <w:sz w:val="14"/>
                <w:szCs w:val="16"/>
              </w:rPr>
              <w:t>(Dependant on assessment outcome)</w:t>
            </w:r>
          </w:p>
        </w:tc>
      </w:tr>
    </w:tbl>
    <w:p w:rsidR="00590977" w:rsidRPr="00B17C84" w:rsidRDefault="00590977" w:rsidP="00535FFC">
      <w:pPr>
        <w:spacing w:line="276" w:lineRule="auto"/>
        <w:jc w:val="left"/>
        <w:rPr>
          <w:rFonts w:ascii="Arial" w:hAnsi="Arial" w:cs="Arial"/>
          <w:sz w:val="8"/>
          <w:szCs w:val="21"/>
        </w:rPr>
      </w:pPr>
    </w:p>
    <w:p w:rsidR="00590977" w:rsidRPr="00B17C84" w:rsidRDefault="00590977" w:rsidP="00B17C84">
      <w:pPr>
        <w:spacing w:after="60" w:line="276" w:lineRule="auto"/>
        <w:jc w:val="left"/>
        <w:rPr>
          <w:rFonts w:ascii="Arial" w:hAnsi="Arial" w:cs="Arial"/>
          <w:b/>
          <w:sz w:val="20"/>
          <w:szCs w:val="21"/>
        </w:rPr>
      </w:pPr>
      <w:r w:rsidRPr="00B17C84">
        <w:rPr>
          <w:rFonts w:ascii="Arial" w:hAnsi="Arial" w:cs="Arial"/>
          <w:b/>
          <w:sz w:val="20"/>
          <w:szCs w:val="21"/>
        </w:rPr>
        <w:t>Training Reports</w:t>
      </w:r>
    </w:p>
    <w:p w:rsidR="00535FFC" w:rsidRPr="00B17C84" w:rsidRDefault="00535FFC" w:rsidP="00B17C84">
      <w:pPr>
        <w:spacing w:after="60" w:line="276" w:lineRule="auto"/>
        <w:jc w:val="left"/>
        <w:rPr>
          <w:rFonts w:ascii="Arial" w:hAnsi="Arial" w:cs="Arial"/>
          <w:sz w:val="20"/>
          <w:szCs w:val="21"/>
        </w:rPr>
      </w:pPr>
      <w:r w:rsidRPr="00B17C84">
        <w:rPr>
          <w:rFonts w:ascii="Arial" w:hAnsi="Arial" w:cs="Arial"/>
          <w:sz w:val="20"/>
          <w:szCs w:val="21"/>
        </w:rPr>
        <w:t>There are accompanying reports for each of the programme</w:t>
      </w:r>
      <w:r w:rsidR="00590977" w:rsidRPr="00B17C84">
        <w:rPr>
          <w:rFonts w:ascii="Arial" w:hAnsi="Arial" w:cs="Arial"/>
          <w:sz w:val="20"/>
          <w:szCs w:val="21"/>
        </w:rPr>
        <w:t>s</w:t>
      </w:r>
      <w:r w:rsidRPr="00B17C84">
        <w:rPr>
          <w:rFonts w:ascii="Arial" w:hAnsi="Arial" w:cs="Arial"/>
          <w:sz w:val="20"/>
          <w:szCs w:val="21"/>
        </w:rPr>
        <w:t>. W</w:t>
      </w:r>
      <w:r w:rsidR="00590977" w:rsidRPr="00B17C84">
        <w:rPr>
          <w:rFonts w:ascii="Arial" w:hAnsi="Arial" w:cs="Arial"/>
          <w:sz w:val="20"/>
          <w:szCs w:val="21"/>
        </w:rPr>
        <w:t>i</w:t>
      </w:r>
      <w:r w:rsidRPr="00B17C84">
        <w:rPr>
          <w:rFonts w:ascii="Arial" w:hAnsi="Arial" w:cs="Arial"/>
          <w:sz w:val="20"/>
          <w:szCs w:val="21"/>
        </w:rPr>
        <w:t>t</w:t>
      </w:r>
      <w:r w:rsidR="00590977" w:rsidRPr="00B17C84">
        <w:rPr>
          <w:rFonts w:ascii="Arial" w:hAnsi="Arial" w:cs="Arial"/>
          <w:sz w:val="20"/>
          <w:szCs w:val="21"/>
        </w:rPr>
        <w:t>h</w:t>
      </w:r>
      <w:r w:rsidRPr="00B17C84">
        <w:rPr>
          <w:rFonts w:ascii="Arial" w:hAnsi="Arial" w:cs="Arial"/>
          <w:sz w:val="20"/>
          <w:szCs w:val="21"/>
        </w:rPr>
        <w:t>in these reports staff are described as being:</w:t>
      </w:r>
    </w:p>
    <w:p w:rsidR="00535FFC" w:rsidRPr="00B17C84" w:rsidRDefault="00535FFC" w:rsidP="00B17C84">
      <w:pPr>
        <w:spacing w:after="60" w:line="276" w:lineRule="auto"/>
        <w:jc w:val="left"/>
        <w:rPr>
          <w:rFonts w:ascii="Arial" w:hAnsi="Arial" w:cs="Arial"/>
          <w:sz w:val="20"/>
          <w:szCs w:val="21"/>
        </w:rPr>
      </w:pPr>
      <w:r w:rsidRPr="00B17C84">
        <w:rPr>
          <w:rFonts w:ascii="Arial" w:hAnsi="Arial" w:cs="Arial"/>
          <w:b/>
          <w:sz w:val="20"/>
          <w:szCs w:val="21"/>
        </w:rPr>
        <w:t>In Scope</w:t>
      </w:r>
      <w:r w:rsidRPr="00B17C84">
        <w:rPr>
          <w:rFonts w:ascii="Arial" w:hAnsi="Arial" w:cs="Arial"/>
          <w:sz w:val="20"/>
          <w:szCs w:val="21"/>
        </w:rPr>
        <w:t xml:space="preserve"> – this means staff are identified as requiring to participate in the prog</w:t>
      </w:r>
      <w:r w:rsidR="00EE35AD">
        <w:rPr>
          <w:rFonts w:ascii="Arial" w:hAnsi="Arial" w:cs="Arial"/>
          <w:sz w:val="20"/>
          <w:szCs w:val="21"/>
        </w:rPr>
        <w:t>ramme. These staff will</w:t>
      </w:r>
      <w:r w:rsidRPr="00B17C84">
        <w:rPr>
          <w:rFonts w:ascii="Arial" w:hAnsi="Arial" w:cs="Arial"/>
          <w:sz w:val="20"/>
          <w:szCs w:val="21"/>
        </w:rPr>
        <w:t xml:space="preserve"> have a compliance status applied, for example, ‘completed’, ‘Not undertaken’ etc. Some staff will have ‘No Account’, this means that a LearnPro account has not been</w:t>
      </w:r>
      <w:r w:rsidR="00590977" w:rsidRPr="00B17C84">
        <w:rPr>
          <w:rFonts w:ascii="Arial" w:hAnsi="Arial" w:cs="Arial"/>
          <w:sz w:val="20"/>
          <w:szCs w:val="21"/>
        </w:rPr>
        <w:t xml:space="preserve"> found</w:t>
      </w:r>
      <w:r w:rsidRPr="00B17C84">
        <w:rPr>
          <w:rFonts w:ascii="Arial" w:hAnsi="Arial" w:cs="Arial"/>
          <w:sz w:val="20"/>
          <w:szCs w:val="21"/>
        </w:rPr>
        <w:t xml:space="preserve"> for the person. This is normally because the Payroll number entered by the staff member</w:t>
      </w:r>
      <w:r w:rsidR="00590977" w:rsidRPr="00B17C84">
        <w:rPr>
          <w:rFonts w:ascii="Arial" w:hAnsi="Arial" w:cs="Arial"/>
          <w:sz w:val="20"/>
          <w:szCs w:val="21"/>
        </w:rPr>
        <w:t xml:space="preserve"> into their account</w:t>
      </w:r>
      <w:r w:rsidRPr="00B17C84">
        <w:rPr>
          <w:rFonts w:ascii="Arial" w:hAnsi="Arial" w:cs="Arial"/>
          <w:sz w:val="20"/>
          <w:szCs w:val="21"/>
        </w:rPr>
        <w:t xml:space="preserve"> is incorrect (or was temporary and has not been updated)</w:t>
      </w:r>
      <w:r w:rsidR="00590977" w:rsidRPr="00B17C84">
        <w:rPr>
          <w:rFonts w:ascii="Arial" w:hAnsi="Arial" w:cs="Arial"/>
          <w:sz w:val="20"/>
          <w:szCs w:val="21"/>
        </w:rPr>
        <w:t>;</w:t>
      </w:r>
      <w:r w:rsidRPr="00B17C84">
        <w:rPr>
          <w:rFonts w:ascii="Arial" w:hAnsi="Arial" w:cs="Arial"/>
          <w:sz w:val="20"/>
          <w:szCs w:val="21"/>
        </w:rPr>
        <w:t xml:space="preserve"> </w:t>
      </w:r>
      <w:r w:rsidRPr="00B17C84">
        <w:rPr>
          <w:rFonts w:ascii="Arial" w:hAnsi="Arial" w:cs="Arial"/>
          <w:sz w:val="20"/>
          <w:szCs w:val="21"/>
        </w:rPr>
        <w:lastRenderedPageBreak/>
        <w:t>or the Health</w:t>
      </w:r>
      <w:r w:rsidR="00590977" w:rsidRPr="00B17C84">
        <w:rPr>
          <w:rFonts w:ascii="Arial" w:hAnsi="Arial" w:cs="Arial"/>
          <w:sz w:val="20"/>
          <w:szCs w:val="21"/>
        </w:rPr>
        <w:t xml:space="preserve"> </w:t>
      </w:r>
      <w:r w:rsidRPr="00B17C84">
        <w:rPr>
          <w:rFonts w:ascii="Arial" w:hAnsi="Arial" w:cs="Arial"/>
          <w:sz w:val="20"/>
          <w:szCs w:val="21"/>
        </w:rPr>
        <w:t xml:space="preserve">Board has not been entered as </w:t>
      </w:r>
      <w:r w:rsidR="00590977" w:rsidRPr="00B17C84">
        <w:rPr>
          <w:rFonts w:ascii="Arial" w:hAnsi="Arial" w:cs="Arial"/>
          <w:sz w:val="20"/>
          <w:szCs w:val="21"/>
        </w:rPr>
        <w:t>‘</w:t>
      </w:r>
      <w:r w:rsidRPr="00B17C84">
        <w:rPr>
          <w:rFonts w:ascii="Arial" w:hAnsi="Arial" w:cs="Arial"/>
          <w:sz w:val="20"/>
          <w:szCs w:val="21"/>
        </w:rPr>
        <w:t>GGC</w:t>
      </w:r>
      <w:r w:rsidR="00590977" w:rsidRPr="00B17C84">
        <w:rPr>
          <w:rFonts w:ascii="Arial" w:hAnsi="Arial" w:cs="Arial"/>
          <w:sz w:val="20"/>
          <w:szCs w:val="21"/>
        </w:rPr>
        <w:t>’</w:t>
      </w:r>
      <w:r w:rsidRPr="00B17C84">
        <w:rPr>
          <w:rFonts w:ascii="Arial" w:hAnsi="Arial" w:cs="Arial"/>
          <w:sz w:val="20"/>
          <w:szCs w:val="21"/>
        </w:rPr>
        <w:t xml:space="preserve">. Guidance for </w:t>
      </w:r>
      <w:proofErr w:type="gramStart"/>
      <w:r w:rsidR="00590977" w:rsidRPr="00B17C84">
        <w:rPr>
          <w:rFonts w:ascii="Arial" w:hAnsi="Arial" w:cs="Arial"/>
          <w:sz w:val="20"/>
          <w:szCs w:val="21"/>
        </w:rPr>
        <w:t>updating</w:t>
      </w:r>
      <w:proofErr w:type="gramEnd"/>
      <w:r w:rsidRPr="00B17C84">
        <w:rPr>
          <w:rFonts w:ascii="Arial" w:hAnsi="Arial" w:cs="Arial"/>
          <w:sz w:val="20"/>
          <w:szCs w:val="21"/>
        </w:rPr>
        <w:t xml:space="preserve"> this </w:t>
      </w:r>
      <w:r w:rsidR="00590977" w:rsidRPr="00B17C84">
        <w:rPr>
          <w:rFonts w:ascii="Arial" w:hAnsi="Arial" w:cs="Arial"/>
          <w:sz w:val="20"/>
          <w:szCs w:val="21"/>
        </w:rPr>
        <w:t>information</w:t>
      </w:r>
      <w:r w:rsidRPr="00B17C84">
        <w:rPr>
          <w:rFonts w:ascii="Arial" w:hAnsi="Arial" w:cs="Arial"/>
          <w:sz w:val="20"/>
          <w:szCs w:val="21"/>
        </w:rPr>
        <w:t xml:space="preserve"> is available </w:t>
      </w:r>
      <w:hyperlink r:id="rId7" w:history="1">
        <w:r w:rsidRPr="00B17C84">
          <w:rPr>
            <w:rStyle w:val="Hyperlink"/>
            <w:rFonts w:ascii="Arial" w:hAnsi="Arial" w:cs="Arial"/>
            <w:sz w:val="20"/>
            <w:szCs w:val="21"/>
          </w:rPr>
          <w:t>here</w:t>
        </w:r>
      </w:hyperlink>
      <w:r w:rsidRPr="00B17C84">
        <w:rPr>
          <w:rFonts w:ascii="Arial" w:hAnsi="Arial" w:cs="Arial"/>
          <w:sz w:val="20"/>
          <w:szCs w:val="21"/>
        </w:rPr>
        <w:t>.</w:t>
      </w:r>
      <w:bookmarkStart w:id="0" w:name="_GoBack"/>
      <w:bookmarkEnd w:id="0"/>
    </w:p>
    <w:p w:rsidR="004E4805" w:rsidRPr="00B17C84" w:rsidRDefault="00535FFC" w:rsidP="00B17C84">
      <w:pPr>
        <w:spacing w:after="60" w:line="276" w:lineRule="auto"/>
        <w:jc w:val="left"/>
        <w:rPr>
          <w:rFonts w:ascii="Arial" w:hAnsi="Arial" w:cs="Arial"/>
          <w:sz w:val="20"/>
          <w:szCs w:val="21"/>
        </w:rPr>
      </w:pPr>
      <w:r w:rsidRPr="00B17C84">
        <w:rPr>
          <w:rFonts w:ascii="Arial" w:hAnsi="Arial" w:cs="Arial"/>
          <w:b/>
          <w:sz w:val="20"/>
          <w:szCs w:val="21"/>
        </w:rPr>
        <w:t>Out of Scope</w:t>
      </w:r>
      <w:r w:rsidRPr="00B17C84">
        <w:rPr>
          <w:rFonts w:ascii="Arial" w:hAnsi="Arial" w:cs="Arial"/>
          <w:sz w:val="20"/>
          <w:szCs w:val="21"/>
        </w:rPr>
        <w:t xml:space="preserve"> – this means staff do not require to participate in the programme</w:t>
      </w:r>
      <w:r w:rsidR="00590977" w:rsidRPr="00B17C84">
        <w:rPr>
          <w:rFonts w:ascii="Arial" w:hAnsi="Arial" w:cs="Arial"/>
          <w:sz w:val="20"/>
          <w:szCs w:val="21"/>
        </w:rPr>
        <w:t>. They will have ‘Out of Scope’ against their record</w:t>
      </w:r>
      <w:r w:rsidR="00B17C84">
        <w:rPr>
          <w:rFonts w:ascii="Arial" w:hAnsi="Arial" w:cs="Arial"/>
          <w:sz w:val="20"/>
          <w:szCs w:val="21"/>
        </w:rPr>
        <w:t>.</w:t>
      </w:r>
    </w:p>
    <w:sectPr w:rsidR="004E4805" w:rsidRPr="00B17C84" w:rsidSect="00B17C84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B0" w:rsidRDefault="00E921B0">
      <w:r>
        <w:separator/>
      </w:r>
    </w:p>
  </w:endnote>
  <w:endnote w:type="continuationSeparator" w:id="0">
    <w:p w:rsidR="00E921B0" w:rsidRDefault="00E9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 Bold">
    <w:altName w:val="Agend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B0" w:rsidRDefault="00E921B0" w:rsidP="004847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1B0" w:rsidRDefault="00E921B0" w:rsidP="006847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B0" w:rsidRDefault="00E921B0" w:rsidP="004847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35AD">
      <w:rPr>
        <w:rStyle w:val="PageNumber"/>
        <w:noProof/>
      </w:rPr>
      <w:t>1</w:t>
    </w:r>
    <w:r>
      <w:rPr>
        <w:rStyle w:val="PageNumber"/>
      </w:rPr>
      <w:fldChar w:fldCharType="end"/>
    </w:r>
  </w:p>
  <w:p w:rsidR="00E921B0" w:rsidRPr="00CF2517" w:rsidRDefault="00E921B0" w:rsidP="006847DD">
    <w:pPr>
      <w:pStyle w:val="Footer"/>
      <w:ind w:right="360"/>
      <w:rPr>
        <w:rFonts w:ascii="Arial" w:hAnsi="Arial" w:cs="Arial"/>
        <w:sz w:val="16"/>
      </w:rPr>
    </w:pPr>
    <w:r w:rsidRPr="00CF2517">
      <w:rPr>
        <w:rFonts w:ascii="Arial" w:hAnsi="Arial" w:cs="Arial"/>
        <w:sz w:val="16"/>
      </w:rPr>
      <w:t>H&amp;S</w:t>
    </w:r>
    <w:r>
      <w:rPr>
        <w:rFonts w:ascii="Arial" w:hAnsi="Arial" w:cs="Arial"/>
        <w:sz w:val="16"/>
      </w:rPr>
      <w:t xml:space="preserve"> Service – </w:t>
    </w:r>
    <w:r w:rsidR="00535FFC">
      <w:rPr>
        <w:rFonts w:ascii="Arial" w:hAnsi="Arial" w:cs="Arial"/>
        <w:sz w:val="16"/>
      </w:rPr>
      <w:t>Scoping Guidance, October 2020</w:t>
    </w:r>
    <w:r>
      <w:rPr>
        <w:rFonts w:ascii="Arial" w:hAnsi="Arial" w:cs="Arial"/>
        <w:sz w:val="16"/>
      </w:rPr>
      <w:t xml:space="preserve"> (V1)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B0" w:rsidRDefault="00E921B0">
      <w:r>
        <w:separator/>
      </w:r>
    </w:p>
  </w:footnote>
  <w:footnote w:type="continuationSeparator" w:id="0">
    <w:p w:rsidR="00E921B0" w:rsidRDefault="00E9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B0" w:rsidRPr="00CF2517" w:rsidRDefault="000F46BE" w:rsidP="00067867">
    <w:pPr>
      <w:rPr>
        <w:rFonts w:ascii="Arial" w:hAnsi="Arial" w:cs="Arial"/>
        <w:b/>
        <w:color w:val="333399"/>
        <w:sz w:val="36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8996235</wp:posOffset>
          </wp:positionH>
          <wp:positionV relativeFrom="paragraph">
            <wp:posOffset>-2540</wp:posOffset>
          </wp:positionV>
          <wp:extent cx="701675" cy="504825"/>
          <wp:effectExtent l="0" t="0" r="3175" b="9525"/>
          <wp:wrapTight wrapText="bothSides">
            <wp:wrapPolygon edited="0">
              <wp:start x="0" y="0"/>
              <wp:lineTo x="0" y="21192"/>
              <wp:lineTo x="21111" y="21192"/>
              <wp:lineTo x="21111" y="0"/>
              <wp:lineTo x="0" y="0"/>
            </wp:wrapPolygon>
          </wp:wrapTight>
          <wp:docPr id="2" name="Picture 2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1B0" w:rsidRPr="00CF2517">
      <w:rPr>
        <w:rFonts w:ascii="Arial" w:hAnsi="Arial" w:cs="Arial"/>
        <w:b/>
        <w:color w:val="333399"/>
        <w:sz w:val="36"/>
        <w:szCs w:val="28"/>
      </w:rPr>
      <w:t>Health &amp; Safety</w:t>
    </w:r>
  </w:p>
  <w:p w:rsidR="00E921B0" w:rsidRPr="00CF2517" w:rsidRDefault="000F46BE" w:rsidP="00067867">
    <w:pPr>
      <w:rPr>
        <w:rFonts w:ascii="Arial" w:hAnsi="Arial" w:cs="Arial"/>
        <w:b/>
        <w:color w:val="5F5F5F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217813</wp:posOffset>
              </wp:positionV>
              <wp:extent cx="9702140" cy="11876"/>
              <wp:effectExtent l="0" t="0" r="33020" b="266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02140" cy="11876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BD59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7.15pt" to="763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" strokecolor="gray" strokeweight="1.5pt">
              <w10:wrap anchorx="margin"/>
            </v:line>
          </w:pict>
        </mc:Fallback>
      </mc:AlternateContent>
    </w:r>
    <w:r w:rsidR="00E921B0" w:rsidRPr="00CF2517">
      <w:rPr>
        <w:rFonts w:ascii="Arial" w:hAnsi="Arial" w:cs="Arial"/>
        <w:b/>
        <w:color w:val="5F5F5F"/>
        <w:szCs w:val="28"/>
      </w:rPr>
      <w:t xml:space="preserve">Training </w:t>
    </w:r>
    <w:r w:rsidR="0060245C">
      <w:rPr>
        <w:rFonts w:ascii="Arial" w:hAnsi="Arial" w:cs="Arial"/>
        <w:b/>
        <w:color w:val="5F5F5F"/>
        <w:szCs w:val="28"/>
      </w:rPr>
      <w:t>Scoping Guidance for Sharps, Falls and Moving &amp; Handling</w:t>
    </w:r>
  </w:p>
  <w:p w:rsidR="00E921B0" w:rsidRPr="00CF2517" w:rsidRDefault="00E921B0" w:rsidP="00CF2517">
    <w:pPr>
      <w:spacing w:after="0"/>
      <w:rPr>
        <w:rFonts w:ascii="Century Gothic" w:hAnsi="Century Gothic" w:cs="Arial"/>
        <w:b/>
        <w:color w:val="5F5F5F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560BA2"/>
    <w:multiLevelType w:val="hybridMultilevel"/>
    <w:tmpl w:val="6B61892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B2BDCA"/>
    <w:multiLevelType w:val="hybridMultilevel"/>
    <w:tmpl w:val="8F28236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F9750E2"/>
    <w:multiLevelType w:val="hybridMultilevel"/>
    <w:tmpl w:val="D31C6E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E18DC6BA"/>
    <w:multiLevelType w:val="hybridMultilevel"/>
    <w:tmpl w:val="36C977C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4B3766E"/>
    <w:multiLevelType w:val="hybridMultilevel"/>
    <w:tmpl w:val="4C0A8924"/>
    <w:lvl w:ilvl="0" w:tplc="A80C50D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B2DD9"/>
    <w:multiLevelType w:val="hybridMultilevel"/>
    <w:tmpl w:val="36A6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9029B"/>
    <w:multiLevelType w:val="hybridMultilevel"/>
    <w:tmpl w:val="4F4C92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B24BB2"/>
    <w:multiLevelType w:val="hybridMultilevel"/>
    <w:tmpl w:val="28ACA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52F5F6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B2344"/>
    <w:multiLevelType w:val="hybridMultilevel"/>
    <w:tmpl w:val="2D22EE46"/>
    <w:lvl w:ilvl="0" w:tplc="4978E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B0289E"/>
    <w:multiLevelType w:val="hybridMultilevel"/>
    <w:tmpl w:val="DA32515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5004BC"/>
    <w:multiLevelType w:val="hybridMultilevel"/>
    <w:tmpl w:val="B964A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16589"/>
    <w:multiLevelType w:val="hybridMultilevel"/>
    <w:tmpl w:val="B347FB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3806DE"/>
    <w:multiLevelType w:val="hybridMultilevel"/>
    <w:tmpl w:val="4530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F370F"/>
    <w:multiLevelType w:val="hybridMultilevel"/>
    <w:tmpl w:val="050AD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87B32"/>
    <w:multiLevelType w:val="hybridMultilevel"/>
    <w:tmpl w:val="0F5C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6621A"/>
    <w:multiLevelType w:val="hybridMultilevel"/>
    <w:tmpl w:val="7218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25E51"/>
    <w:multiLevelType w:val="hybridMultilevel"/>
    <w:tmpl w:val="3D0555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BC4B44"/>
    <w:multiLevelType w:val="hybridMultilevel"/>
    <w:tmpl w:val="F0023EA2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8" w15:restartNumberingAfterBreak="0">
    <w:nsid w:val="3A480D0B"/>
    <w:multiLevelType w:val="hybridMultilevel"/>
    <w:tmpl w:val="F0023EA2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9" w15:restartNumberingAfterBreak="0">
    <w:nsid w:val="3A9E0A07"/>
    <w:multiLevelType w:val="hybridMultilevel"/>
    <w:tmpl w:val="D018A1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37AA1"/>
    <w:multiLevelType w:val="hybridMultilevel"/>
    <w:tmpl w:val="77661B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995957"/>
    <w:multiLevelType w:val="hybridMultilevel"/>
    <w:tmpl w:val="81B6AA06"/>
    <w:lvl w:ilvl="0" w:tplc="D18A129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71001"/>
    <w:multiLevelType w:val="hybridMultilevel"/>
    <w:tmpl w:val="28BCAD6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9644BE8"/>
    <w:multiLevelType w:val="multilevel"/>
    <w:tmpl w:val="6C18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5A3409"/>
    <w:multiLevelType w:val="hybridMultilevel"/>
    <w:tmpl w:val="14DE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56EAC"/>
    <w:multiLevelType w:val="hybridMultilevel"/>
    <w:tmpl w:val="1A3CCE3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FD440BD"/>
    <w:multiLevelType w:val="hybridMultilevel"/>
    <w:tmpl w:val="83D2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867DF"/>
    <w:multiLevelType w:val="hybridMultilevel"/>
    <w:tmpl w:val="318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45D70"/>
    <w:multiLevelType w:val="hybridMultilevel"/>
    <w:tmpl w:val="A0BC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C3853"/>
    <w:multiLevelType w:val="hybridMultilevel"/>
    <w:tmpl w:val="FAF0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676E5"/>
    <w:multiLevelType w:val="hybridMultilevel"/>
    <w:tmpl w:val="0A1AE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2081A"/>
    <w:multiLevelType w:val="hybridMultilevel"/>
    <w:tmpl w:val="D7C4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22553"/>
    <w:multiLevelType w:val="hybridMultilevel"/>
    <w:tmpl w:val="11EC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777F"/>
    <w:multiLevelType w:val="hybridMultilevel"/>
    <w:tmpl w:val="3E44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57EB0"/>
    <w:multiLevelType w:val="hybridMultilevel"/>
    <w:tmpl w:val="D06EAC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8C43CE"/>
    <w:multiLevelType w:val="hybridMultilevel"/>
    <w:tmpl w:val="F6CEF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4"/>
  </w:num>
  <w:num w:numId="4">
    <w:abstractNumId w:val="8"/>
  </w:num>
  <w:num w:numId="5">
    <w:abstractNumId w:val="11"/>
  </w:num>
  <w:num w:numId="6">
    <w:abstractNumId w:val="4"/>
  </w:num>
  <w:num w:numId="7">
    <w:abstractNumId w:val="32"/>
  </w:num>
  <w:num w:numId="8">
    <w:abstractNumId w:val="16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22"/>
  </w:num>
  <w:num w:numId="14">
    <w:abstractNumId w:val="12"/>
  </w:num>
  <w:num w:numId="15">
    <w:abstractNumId w:val="33"/>
  </w:num>
  <w:num w:numId="16">
    <w:abstractNumId w:val="27"/>
  </w:num>
  <w:num w:numId="17">
    <w:abstractNumId w:val="24"/>
  </w:num>
  <w:num w:numId="18">
    <w:abstractNumId w:val="25"/>
  </w:num>
  <w:num w:numId="19">
    <w:abstractNumId w:val="26"/>
  </w:num>
  <w:num w:numId="20">
    <w:abstractNumId w:val="15"/>
  </w:num>
  <w:num w:numId="21">
    <w:abstractNumId w:val="21"/>
  </w:num>
  <w:num w:numId="22">
    <w:abstractNumId w:val="20"/>
  </w:num>
  <w:num w:numId="23">
    <w:abstractNumId w:val="6"/>
  </w:num>
  <w:num w:numId="24">
    <w:abstractNumId w:val="2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7"/>
  </w:num>
  <w:num w:numId="28">
    <w:abstractNumId w:val="13"/>
  </w:num>
  <w:num w:numId="29">
    <w:abstractNumId w:val="19"/>
  </w:num>
  <w:num w:numId="30">
    <w:abstractNumId w:val="29"/>
  </w:num>
  <w:num w:numId="31">
    <w:abstractNumId w:val="5"/>
  </w:num>
  <w:num w:numId="32">
    <w:abstractNumId w:val="10"/>
  </w:num>
  <w:num w:numId="33">
    <w:abstractNumId w:val="30"/>
  </w:num>
  <w:num w:numId="34">
    <w:abstractNumId w:val="9"/>
  </w:num>
  <w:num w:numId="35">
    <w:abstractNumId w:val="28"/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5A"/>
    <w:rsid w:val="00017842"/>
    <w:rsid w:val="000236B5"/>
    <w:rsid w:val="000409A7"/>
    <w:rsid w:val="000419A7"/>
    <w:rsid w:val="000462D5"/>
    <w:rsid w:val="00060209"/>
    <w:rsid w:val="00067867"/>
    <w:rsid w:val="0007565F"/>
    <w:rsid w:val="00085FEC"/>
    <w:rsid w:val="000A56A2"/>
    <w:rsid w:val="000A67AE"/>
    <w:rsid w:val="000B04D7"/>
    <w:rsid w:val="000B0AAB"/>
    <w:rsid w:val="000C0AE8"/>
    <w:rsid w:val="000C7BB6"/>
    <w:rsid w:val="000E0ACD"/>
    <w:rsid w:val="000E5538"/>
    <w:rsid w:val="000F46BE"/>
    <w:rsid w:val="000F4D03"/>
    <w:rsid w:val="001138A7"/>
    <w:rsid w:val="001201D3"/>
    <w:rsid w:val="001340E6"/>
    <w:rsid w:val="00147647"/>
    <w:rsid w:val="0015319E"/>
    <w:rsid w:val="00163EE8"/>
    <w:rsid w:val="001666C5"/>
    <w:rsid w:val="00172D5D"/>
    <w:rsid w:val="00175979"/>
    <w:rsid w:val="00182BA1"/>
    <w:rsid w:val="001847F4"/>
    <w:rsid w:val="001B4016"/>
    <w:rsid w:val="001D7595"/>
    <w:rsid w:val="001E293F"/>
    <w:rsid w:val="001F149E"/>
    <w:rsid w:val="001F7F32"/>
    <w:rsid w:val="002045AF"/>
    <w:rsid w:val="002179D7"/>
    <w:rsid w:val="0023787F"/>
    <w:rsid w:val="00240372"/>
    <w:rsid w:val="00253F30"/>
    <w:rsid w:val="002737AB"/>
    <w:rsid w:val="00273DB8"/>
    <w:rsid w:val="00275507"/>
    <w:rsid w:val="00282757"/>
    <w:rsid w:val="00283C05"/>
    <w:rsid w:val="00287675"/>
    <w:rsid w:val="002B0B0A"/>
    <w:rsid w:val="002B16A8"/>
    <w:rsid w:val="002C64BC"/>
    <w:rsid w:val="002E01B1"/>
    <w:rsid w:val="002E3C6C"/>
    <w:rsid w:val="002F0C3A"/>
    <w:rsid w:val="002F3B5D"/>
    <w:rsid w:val="00311BF7"/>
    <w:rsid w:val="003225F6"/>
    <w:rsid w:val="003247BD"/>
    <w:rsid w:val="00334139"/>
    <w:rsid w:val="00334876"/>
    <w:rsid w:val="003600C5"/>
    <w:rsid w:val="003627FB"/>
    <w:rsid w:val="0037153A"/>
    <w:rsid w:val="003732C4"/>
    <w:rsid w:val="00374BC7"/>
    <w:rsid w:val="00375F54"/>
    <w:rsid w:val="0037719A"/>
    <w:rsid w:val="00380D09"/>
    <w:rsid w:val="00382E0F"/>
    <w:rsid w:val="00383C64"/>
    <w:rsid w:val="00393F8F"/>
    <w:rsid w:val="003A152A"/>
    <w:rsid w:val="003A20BF"/>
    <w:rsid w:val="003C706E"/>
    <w:rsid w:val="003F6C25"/>
    <w:rsid w:val="00425ED8"/>
    <w:rsid w:val="00442CF2"/>
    <w:rsid w:val="00467A48"/>
    <w:rsid w:val="0047782E"/>
    <w:rsid w:val="00484700"/>
    <w:rsid w:val="00493F1A"/>
    <w:rsid w:val="0049735B"/>
    <w:rsid w:val="004D249C"/>
    <w:rsid w:val="004E4805"/>
    <w:rsid w:val="004E684B"/>
    <w:rsid w:val="004E691F"/>
    <w:rsid w:val="004F64FA"/>
    <w:rsid w:val="00526597"/>
    <w:rsid w:val="00526EF7"/>
    <w:rsid w:val="005340FB"/>
    <w:rsid w:val="005349F8"/>
    <w:rsid w:val="00535FFC"/>
    <w:rsid w:val="00564772"/>
    <w:rsid w:val="0057263A"/>
    <w:rsid w:val="0057432B"/>
    <w:rsid w:val="0058000C"/>
    <w:rsid w:val="00590977"/>
    <w:rsid w:val="005912F1"/>
    <w:rsid w:val="005A7A22"/>
    <w:rsid w:val="005C6383"/>
    <w:rsid w:val="005D67D9"/>
    <w:rsid w:val="005F539B"/>
    <w:rsid w:val="00600C4A"/>
    <w:rsid w:val="0060245C"/>
    <w:rsid w:val="006142DD"/>
    <w:rsid w:val="006154F4"/>
    <w:rsid w:val="00637FCE"/>
    <w:rsid w:val="006400D1"/>
    <w:rsid w:val="00642DA0"/>
    <w:rsid w:val="00671258"/>
    <w:rsid w:val="006844C2"/>
    <w:rsid w:val="006847DD"/>
    <w:rsid w:val="00684FDB"/>
    <w:rsid w:val="00686FB8"/>
    <w:rsid w:val="006A05E5"/>
    <w:rsid w:val="006A1FFC"/>
    <w:rsid w:val="006B0599"/>
    <w:rsid w:val="006C1966"/>
    <w:rsid w:val="006C49F7"/>
    <w:rsid w:val="006C79DE"/>
    <w:rsid w:val="006E345F"/>
    <w:rsid w:val="006E6073"/>
    <w:rsid w:val="006E70CF"/>
    <w:rsid w:val="006F3E97"/>
    <w:rsid w:val="006F48B3"/>
    <w:rsid w:val="006F5422"/>
    <w:rsid w:val="006F738F"/>
    <w:rsid w:val="00713C67"/>
    <w:rsid w:val="00730EBC"/>
    <w:rsid w:val="00746B5A"/>
    <w:rsid w:val="00755538"/>
    <w:rsid w:val="007655A5"/>
    <w:rsid w:val="007709C6"/>
    <w:rsid w:val="00773705"/>
    <w:rsid w:val="00797296"/>
    <w:rsid w:val="0079799E"/>
    <w:rsid w:val="00797ED3"/>
    <w:rsid w:val="007A7E3A"/>
    <w:rsid w:val="007D07C2"/>
    <w:rsid w:val="007D18F3"/>
    <w:rsid w:val="007D2FF2"/>
    <w:rsid w:val="007D78E0"/>
    <w:rsid w:val="007F1088"/>
    <w:rsid w:val="007F56C4"/>
    <w:rsid w:val="00824F0D"/>
    <w:rsid w:val="008977D9"/>
    <w:rsid w:val="008E524A"/>
    <w:rsid w:val="008E54F6"/>
    <w:rsid w:val="008F0040"/>
    <w:rsid w:val="009100B1"/>
    <w:rsid w:val="00917AFD"/>
    <w:rsid w:val="00925B8C"/>
    <w:rsid w:val="00950552"/>
    <w:rsid w:val="009528DC"/>
    <w:rsid w:val="009652AA"/>
    <w:rsid w:val="00965385"/>
    <w:rsid w:val="009A011F"/>
    <w:rsid w:val="009A1372"/>
    <w:rsid w:val="009B6E5F"/>
    <w:rsid w:val="009C64C9"/>
    <w:rsid w:val="00A02511"/>
    <w:rsid w:val="00A062F4"/>
    <w:rsid w:val="00A12840"/>
    <w:rsid w:val="00A214CE"/>
    <w:rsid w:val="00A276D8"/>
    <w:rsid w:val="00A45CE0"/>
    <w:rsid w:val="00A520DC"/>
    <w:rsid w:val="00A73E80"/>
    <w:rsid w:val="00AA0E17"/>
    <w:rsid w:val="00AB3D2D"/>
    <w:rsid w:val="00AB4218"/>
    <w:rsid w:val="00AB4453"/>
    <w:rsid w:val="00AD5FBA"/>
    <w:rsid w:val="00AD7F88"/>
    <w:rsid w:val="00AF59F4"/>
    <w:rsid w:val="00B004B2"/>
    <w:rsid w:val="00B0774D"/>
    <w:rsid w:val="00B110DA"/>
    <w:rsid w:val="00B17C84"/>
    <w:rsid w:val="00B31298"/>
    <w:rsid w:val="00B32864"/>
    <w:rsid w:val="00B52152"/>
    <w:rsid w:val="00B6186E"/>
    <w:rsid w:val="00B704B1"/>
    <w:rsid w:val="00B71B3C"/>
    <w:rsid w:val="00B77767"/>
    <w:rsid w:val="00B91CD9"/>
    <w:rsid w:val="00B941DB"/>
    <w:rsid w:val="00BB3183"/>
    <w:rsid w:val="00BD1197"/>
    <w:rsid w:val="00BD68AD"/>
    <w:rsid w:val="00BE23AF"/>
    <w:rsid w:val="00C07E2E"/>
    <w:rsid w:val="00C11218"/>
    <w:rsid w:val="00C26532"/>
    <w:rsid w:val="00C36FC4"/>
    <w:rsid w:val="00C461CC"/>
    <w:rsid w:val="00C52035"/>
    <w:rsid w:val="00C576AE"/>
    <w:rsid w:val="00C63838"/>
    <w:rsid w:val="00C75371"/>
    <w:rsid w:val="00C85F49"/>
    <w:rsid w:val="00C874DD"/>
    <w:rsid w:val="00C87EAF"/>
    <w:rsid w:val="00CA77E6"/>
    <w:rsid w:val="00CB06E3"/>
    <w:rsid w:val="00CB34BE"/>
    <w:rsid w:val="00CC0950"/>
    <w:rsid w:val="00CC22F0"/>
    <w:rsid w:val="00CC4945"/>
    <w:rsid w:val="00CF2517"/>
    <w:rsid w:val="00CF625A"/>
    <w:rsid w:val="00D03235"/>
    <w:rsid w:val="00D10AA4"/>
    <w:rsid w:val="00D15EBD"/>
    <w:rsid w:val="00D1727A"/>
    <w:rsid w:val="00D35230"/>
    <w:rsid w:val="00D43A48"/>
    <w:rsid w:val="00D477F9"/>
    <w:rsid w:val="00D6613F"/>
    <w:rsid w:val="00D81200"/>
    <w:rsid w:val="00D81294"/>
    <w:rsid w:val="00D84F7C"/>
    <w:rsid w:val="00D9077B"/>
    <w:rsid w:val="00D977E8"/>
    <w:rsid w:val="00DD13C2"/>
    <w:rsid w:val="00DE45CB"/>
    <w:rsid w:val="00DE7709"/>
    <w:rsid w:val="00DF37BC"/>
    <w:rsid w:val="00DF4D22"/>
    <w:rsid w:val="00DF779D"/>
    <w:rsid w:val="00E079E8"/>
    <w:rsid w:val="00E40AFA"/>
    <w:rsid w:val="00E430A7"/>
    <w:rsid w:val="00E4448E"/>
    <w:rsid w:val="00E47D16"/>
    <w:rsid w:val="00E541B5"/>
    <w:rsid w:val="00E541DF"/>
    <w:rsid w:val="00E73062"/>
    <w:rsid w:val="00E921B0"/>
    <w:rsid w:val="00EA3AB0"/>
    <w:rsid w:val="00EA52A5"/>
    <w:rsid w:val="00EB11B6"/>
    <w:rsid w:val="00EB2755"/>
    <w:rsid w:val="00EC298D"/>
    <w:rsid w:val="00EC6069"/>
    <w:rsid w:val="00ED4107"/>
    <w:rsid w:val="00EE35AD"/>
    <w:rsid w:val="00EE57B3"/>
    <w:rsid w:val="00F35742"/>
    <w:rsid w:val="00F529D8"/>
    <w:rsid w:val="00F6289E"/>
    <w:rsid w:val="00F80AC3"/>
    <w:rsid w:val="00F92A44"/>
    <w:rsid w:val="00FA2C4A"/>
    <w:rsid w:val="00FA74AE"/>
    <w:rsid w:val="00FB1C2B"/>
    <w:rsid w:val="00FB23EB"/>
    <w:rsid w:val="00FB74A7"/>
    <w:rsid w:val="00FC5296"/>
    <w:rsid w:val="00FD105B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B025BD2-8C7D-4476-844E-FE300888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C5"/>
    <w:pPr>
      <w:overflowPunct w:val="0"/>
      <w:autoSpaceDE w:val="0"/>
      <w:autoSpaceDN w:val="0"/>
      <w:adjustRightInd w:val="0"/>
      <w:spacing w:after="120" w:line="264" w:lineRule="auto"/>
      <w:jc w:val="both"/>
      <w:textAlignment w:val="baseline"/>
    </w:pPr>
    <w:rPr>
      <w:rFonts w:ascii="Garamond" w:hAnsi="Garamond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8B3"/>
    <w:pPr>
      <w:tabs>
        <w:tab w:val="center" w:pos="4153"/>
        <w:tab w:val="right" w:pos="8306"/>
      </w:tabs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27FB"/>
    <w:rPr>
      <w:rFonts w:ascii="Garamond" w:hAnsi="Garamond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6F48B3"/>
    <w:pPr>
      <w:tabs>
        <w:tab w:val="center" w:pos="4153"/>
        <w:tab w:val="right" w:pos="8306"/>
      </w:tabs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27FB"/>
    <w:rPr>
      <w:rFonts w:ascii="Garamond" w:hAnsi="Garamond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FA2C4A"/>
    <w:pPr>
      <w:overflowPunct/>
      <w:autoSpaceDE/>
      <w:autoSpaceDN/>
      <w:adjustRightInd/>
      <w:spacing w:after="0"/>
      <w:jc w:val="left"/>
      <w:textAlignment w:val="auto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7FB"/>
    <w:rPr>
      <w:rFonts w:cs="Times New Roman"/>
      <w:sz w:val="2"/>
      <w:lang w:eastAsia="zh-TW"/>
    </w:rPr>
  </w:style>
  <w:style w:type="paragraph" w:customStyle="1" w:styleId="Default">
    <w:name w:val="Default"/>
    <w:uiPriority w:val="99"/>
    <w:rsid w:val="00917AFD"/>
    <w:pPr>
      <w:widowControl w:val="0"/>
      <w:autoSpaceDE w:val="0"/>
      <w:autoSpaceDN w:val="0"/>
      <w:adjustRightInd w:val="0"/>
      <w:spacing w:after="60" w:line="264" w:lineRule="auto"/>
    </w:pPr>
    <w:rPr>
      <w:rFonts w:ascii="Agenda Bold" w:hAnsi="Agenda Bold" w:cs="Agenda 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17AFD"/>
    <w:pPr>
      <w:spacing w:line="33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17AFD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17AFD"/>
    <w:pPr>
      <w:spacing w:line="3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917AFD"/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A73E80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73E80"/>
    <w:rPr>
      <w:color w:val="D22229"/>
      <w:sz w:val="28"/>
    </w:rPr>
  </w:style>
  <w:style w:type="paragraph" w:customStyle="1" w:styleId="Pa2">
    <w:name w:val="Pa2"/>
    <w:basedOn w:val="Default"/>
    <w:next w:val="Default"/>
    <w:uiPriority w:val="99"/>
    <w:rsid w:val="00A73E80"/>
    <w:pPr>
      <w:spacing w:line="241" w:lineRule="atLeast"/>
    </w:pPr>
    <w:rPr>
      <w:rFonts w:cs="Times New Roman"/>
      <w:color w:val="auto"/>
    </w:rPr>
  </w:style>
  <w:style w:type="paragraph" w:customStyle="1" w:styleId="nhsbase">
    <w:name w:val="nhs_base"/>
    <w:basedOn w:val="Normal"/>
    <w:uiPriority w:val="99"/>
    <w:rsid w:val="003600C5"/>
    <w:pPr>
      <w:spacing w:after="0"/>
      <w:jc w:val="left"/>
    </w:pPr>
    <w:rPr>
      <w:rFonts w:ascii="Times New Roman" w:hAnsi="Times New Roman"/>
      <w:kern w:val="16"/>
    </w:rPr>
  </w:style>
  <w:style w:type="character" w:styleId="Hyperlink">
    <w:name w:val="Hyperlink"/>
    <w:basedOn w:val="DefaultParagraphFont"/>
    <w:uiPriority w:val="99"/>
    <w:rsid w:val="003600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2864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CF25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F2517"/>
    <w:pPr>
      <w:ind w:left="720"/>
      <w:contextualSpacing/>
    </w:pPr>
  </w:style>
  <w:style w:type="paragraph" w:customStyle="1" w:styleId="cgSectionTitle">
    <w:name w:val="cgSectionTitle"/>
    <w:basedOn w:val="Normal"/>
    <w:next w:val="Normal"/>
    <w:link w:val="cgSectionTitleChar"/>
    <w:uiPriority w:val="99"/>
    <w:rsid w:val="00AD5FBA"/>
    <w:pPr>
      <w:shd w:val="clear" w:color="auto" w:fill="FF9900"/>
      <w:overflowPunct/>
      <w:autoSpaceDE/>
      <w:autoSpaceDN/>
      <w:adjustRightInd/>
      <w:spacing w:after="0"/>
      <w:jc w:val="left"/>
      <w:textAlignment w:val="auto"/>
    </w:pPr>
    <w:rPr>
      <w:rFonts w:ascii="Arial" w:hAnsi="Arial" w:cs="Arial"/>
      <w:b/>
      <w:sz w:val="28"/>
      <w:szCs w:val="24"/>
      <w:lang w:eastAsia="en-US"/>
    </w:rPr>
  </w:style>
  <w:style w:type="character" w:customStyle="1" w:styleId="cgSectionTitleChar">
    <w:name w:val="cgSectionTitle Char"/>
    <w:basedOn w:val="DefaultParagraphFont"/>
    <w:link w:val="cgSectionTitle"/>
    <w:uiPriority w:val="99"/>
    <w:locked/>
    <w:rsid w:val="00AD5FBA"/>
    <w:rPr>
      <w:rFonts w:ascii="Arial" w:hAnsi="Arial" w:cs="Arial"/>
      <w:b/>
      <w:sz w:val="24"/>
      <w:szCs w:val="24"/>
      <w:shd w:val="clear" w:color="auto" w:fill="FF9900"/>
      <w:lang w:eastAsia="en-US"/>
    </w:rPr>
  </w:style>
  <w:style w:type="paragraph" w:customStyle="1" w:styleId="cgBodyText">
    <w:name w:val="cgBodyText"/>
    <w:basedOn w:val="Normal"/>
    <w:link w:val="cgBodyTextChar"/>
    <w:uiPriority w:val="99"/>
    <w:rsid w:val="009652AA"/>
    <w:pPr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hAnsi="Arial"/>
      <w:szCs w:val="24"/>
      <w:lang w:eastAsia="en-US"/>
    </w:rPr>
  </w:style>
  <w:style w:type="character" w:customStyle="1" w:styleId="cgBodyTextChar">
    <w:name w:val="cgBodyText Char"/>
    <w:link w:val="cgBodyText"/>
    <w:uiPriority w:val="99"/>
    <w:locked/>
    <w:rsid w:val="009652AA"/>
    <w:rPr>
      <w:rFonts w:ascii="Arial" w:hAnsi="Arial"/>
      <w:sz w:val="24"/>
      <w:lang w:eastAsia="en-US"/>
    </w:rPr>
  </w:style>
  <w:style w:type="character" w:styleId="PageNumber">
    <w:name w:val="page number"/>
    <w:basedOn w:val="DefaultParagraphFont"/>
    <w:uiPriority w:val="99"/>
    <w:rsid w:val="006847D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F3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B5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B5D"/>
    <w:rPr>
      <w:rFonts w:ascii="Garamond" w:hAnsi="Garamond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B5D"/>
    <w:rPr>
      <w:rFonts w:ascii="Garamond" w:hAnsi="Garamond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75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ggc.org.uk/media/256589/how-to-update-your-personal-details-on-learnpro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Near Miss Reporting Toolbox</vt:lpstr>
    </vt:vector>
  </TitlesOfParts>
  <Company>NHSGGC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Near Miss Reporting Toolbox</dc:title>
  <dc:subject/>
  <dc:creator>mainsda969</dc:creator>
  <cp:keywords/>
  <dc:description/>
  <cp:lastModifiedBy>Raeburn, Cameron</cp:lastModifiedBy>
  <cp:revision>2</cp:revision>
  <cp:lastPrinted>2017-07-12T15:44:00Z</cp:lastPrinted>
  <dcterms:created xsi:type="dcterms:W3CDTF">2020-10-07T18:01:00Z</dcterms:created>
  <dcterms:modified xsi:type="dcterms:W3CDTF">2020-10-07T18:01:00Z</dcterms:modified>
</cp:coreProperties>
</file>