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85A6C" w14:textId="549E4596" w:rsidR="00021AE4" w:rsidRDefault="00021AE4" w:rsidP="004000AB">
      <w:pPr>
        <w:pStyle w:val="Coverdisclaimer"/>
        <w:tabs>
          <w:tab w:val="left" w:pos="9305"/>
        </w:tabs>
      </w:pPr>
    </w:p>
    <w:p w14:paraId="09D26E11" w14:textId="77777777" w:rsidR="00021AE4" w:rsidRDefault="00021AE4" w:rsidP="00021AE4">
      <w:pPr>
        <w:pStyle w:val="Coverdisclaimer"/>
      </w:pPr>
    </w:p>
    <w:p w14:paraId="58ED9D04" w14:textId="77777777" w:rsidR="00021AE4" w:rsidRDefault="00021AE4" w:rsidP="00021AE4">
      <w:pPr>
        <w:pStyle w:val="Coverdisclaimer"/>
      </w:pPr>
    </w:p>
    <w:p w14:paraId="532F5C44" w14:textId="77777777" w:rsidR="00021AE4" w:rsidRDefault="00021AE4" w:rsidP="00021AE4">
      <w:pPr>
        <w:pStyle w:val="Coverdisclaimer"/>
      </w:pPr>
    </w:p>
    <w:p w14:paraId="4C22811F" w14:textId="77777777" w:rsidR="00021AE4" w:rsidRDefault="00021AE4" w:rsidP="00021AE4">
      <w:pPr>
        <w:pStyle w:val="Coverdisclaimer"/>
      </w:pPr>
    </w:p>
    <w:p w14:paraId="6F98B9D6" w14:textId="75F09F96" w:rsidR="00021AE4" w:rsidRDefault="00021AE4" w:rsidP="00021AE4">
      <w:pPr>
        <w:pStyle w:val="Coverdisclaimer"/>
      </w:pPr>
    </w:p>
    <w:p w14:paraId="11949A98" w14:textId="2822D798" w:rsidR="00021AE4" w:rsidRDefault="00021AE4" w:rsidP="00021AE4">
      <w:pPr>
        <w:pStyle w:val="Coverdisclaimer"/>
      </w:pPr>
    </w:p>
    <w:p w14:paraId="5BB59791" w14:textId="73C32B3D" w:rsidR="00021AE4" w:rsidRDefault="00021AE4" w:rsidP="00021AE4">
      <w:pPr>
        <w:pStyle w:val="Coverdisclaimer"/>
      </w:pPr>
    </w:p>
    <w:p w14:paraId="215ECB75" w14:textId="4CB00A90" w:rsidR="00021AE4" w:rsidRDefault="00021AE4" w:rsidP="00021AE4">
      <w:pPr>
        <w:pStyle w:val="Coverdisclaimer"/>
      </w:pPr>
    </w:p>
    <w:p w14:paraId="189225F5" w14:textId="27DA973B" w:rsidR="00021AE4" w:rsidRDefault="00021AE4" w:rsidP="00021AE4">
      <w:pPr>
        <w:pStyle w:val="Coverdisclaimer"/>
      </w:pPr>
      <w:r w:rsidRPr="00BB54CC">
        <w:rPr>
          <w:noProof/>
          <w:lang w:eastAsia="en-GB"/>
        </w:rPr>
        <mc:AlternateContent>
          <mc:Choice Requires="wps">
            <w:drawing>
              <wp:anchor distT="0" distB="0" distL="114300" distR="114300" simplePos="0" relativeHeight="251659264" behindDoc="0" locked="0" layoutInCell="1" allowOverlap="1" wp14:anchorId="5D0C9804" wp14:editId="383A270D">
                <wp:simplePos x="0" y="0"/>
                <wp:positionH relativeFrom="margin">
                  <wp:align>center</wp:align>
                </wp:positionH>
                <wp:positionV relativeFrom="paragraph">
                  <wp:posOffset>130077</wp:posOffset>
                </wp:positionV>
                <wp:extent cx="5429250" cy="3101926"/>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10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Toc322599008" w:displacedByCustomXml="next"/>
                          <w:bookmarkStart w:id="1" w:name="_Toc322600015" w:displacedByCustomXml="next"/>
                          <w:bookmarkStart w:id="2" w:name="_Toc322600037" w:displacedByCustomXml="next"/>
                          <w:bookmarkStart w:id="3" w:name="_Toc323040046" w:displacedByCustomXml="next"/>
                          <w:bookmarkStart w:id="4" w:name="_Toc324429932" w:displacedByCustomXml="next"/>
                          <w:bookmarkStart w:id="5" w:name="_Toc324429979" w:displacedByCustomXml="next"/>
                          <w:sdt>
                            <w:sdtPr>
                              <w:alias w:val="Title"/>
                              <w:tag w:val=""/>
                              <w:id w:val="1997915227"/>
                              <w:placeholder>
                                <w:docPart w:val="51D1AD27DE6F4CB2839AF8A0C98274B7"/>
                              </w:placeholder>
                              <w:dataBinding w:prefixMappings="xmlns:ns0='http://purl.org/dc/elements/1.1/' xmlns:ns1='http://schemas.openxmlformats.org/package/2006/metadata/core-properties' " w:xpath="/ns1:coreProperties[1]/ns0:title[1]" w:storeItemID="{6C3C8BC8-F283-45AE-878A-BAB7291924A1}"/>
                              <w:text/>
                            </w:sdtPr>
                            <w:sdtEndPr/>
                            <w:sdtContent>
                              <w:p w14:paraId="54477989" w14:textId="09CA7BF7" w:rsidR="00677E3B" w:rsidRPr="00C80488" w:rsidRDefault="0032095C" w:rsidP="005E3548">
                                <w:pPr>
                                  <w:pStyle w:val="PublicationTitle"/>
                                </w:pPr>
                                <w:r>
                                  <w:t>Patient G</w:t>
                                </w:r>
                                <w:r w:rsidR="00AC0FAF">
                                  <w:t>roup Direction (PGD) Template</w:t>
                                </w:r>
                              </w:p>
                            </w:sdtContent>
                          </w:sdt>
                          <w:p w14:paraId="2A4C1A51" w14:textId="77777777" w:rsidR="0008084C" w:rsidRDefault="00CC3F5E" w:rsidP="000B7D15">
                            <w:pPr>
                              <w:pStyle w:val="Publicationsubtitle"/>
                            </w:pPr>
                            <w:r w:rsidRPr="006F55E9">
                              <w:t xml:space="preserve">Administration of </w:t>
                            </w:r>
                          </w:p>
                          <w:p w14:paraId="7E8DE909" w14:textId="77777777" w:rsidR="00DE5B0A" w:rsidRDefault="00DE5B0A" w:rsidP="000B7D15">
                            <w:pPr>
                              <w:pStyle w:val="Publicationsubtitle"/>
                            </w:pPr>
                            <w:r w:rsidRPr="00DE5B0A">
                              <w:t xml:space="preserve">AstraZeneca COVID-19 Vaccine (ChAdOx1-S [Recombinant]) </w:t>
                            </w:r>
                          </w:p>
                          <w:p w14:paraId="184202B4" w14:textId="41DE0C62" w:rsidR="000B7D15" w:rsidRPr="000B7D15" w:rsidRDefault="000B7D15" w:rsidP="000B7D15">
                            <w:pPr>
                              <w:pStyle w:val="Publicationsubtitle"/>
                              <w:rPr>
                                <w:sz w:val="28"/>
                              </w:rPr>
                            </w:pPr>
                            <w:r>
                              <w:rPr>
                                <w:b w:val="0"/>
                                <w:sz w:val="28"/>
                              </w:rPr>
                              <w:t>Note other COVID19 vaccines are not covered by this PGD – separate PGDs will be available.</w:t>
                            </w:r>
                          </w:p>
                          <w:p w14:paraId="7B6AC446" w14:textId="0DC82918" w:rsidR="00D35B5F" w:rsidRPr="00A70E7E" w:rsidRDefault="00CC3F5E" w:rsidP="005E3548">
                            <w:pPr>
                              <w:pStyle w:val="Publicationdate"/>
                            </w:pPr>
                            <w:r>
                              <w:t xml:space="preserve">Publication date: </w:t>
                            </w:r>
                            <w:r w:rsidR="001A2346">
                              <w:t>31</w:t>
                            </w:r>
                            <w:r w:rsidR="008E5553">
                              <w:t xml:space="preserve"> </w:t>
                            </w:r>
                            <w:r w:rsidR="00E27A0C">
                              <w:t>December</w:t>
                            </w:r>
                            <w:r>
                              <w:t xml:space="preserve"> </w:t>
                            </w:r>
                            <w:r w:rsidR="00E27A0C">
                              <w:t>2020</w:t>
                            </w:r>
                            <w:bookmarkEnd w:id="5"/>
                            <w:bookmarkEnd w:id="4"/>
                            <w:bookmarkEnd w:id="3"/>
                            <w:bookmarkEnd w:id="2"/>
                            <w:bookmarkEnd w:id="1"/>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D0C9804" id="_x0000_t202" coordsize="21600,21600" o:spt="202" path="m,l,21600r21600,l21600,xe">
                <v:stroke joinstyle="miter"/>
                <v:path gradientshapeok="t" o:connecttype="rect"/>
              </v:shapetype>
              <v:shape id="Text Box 2" o:spid="_x0000_s1026" type="#_x0000_t202" style="position:absolute;left:0;text-align:left;margin-left:0;margin-top:10.25pt;width:427.5pt;height:24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vQtA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" filled="f" stroked="f">
                <v:textbox>
                  <w:txbxContent>
                    <w:bookmarkStart w:id="6" w:name="_Toc324429979" w:displacedByCustomXml="next"/>
                    <w:bookmarkStart w:id="7" w:name="_Toc324429932" w:displacedByCustomXml="next"/>
                    <w:bookmarkStart w:id="8" w:name="_Toc323040046" w:displacedByCustomXml="next"/>
                    <w:bookmarkStart w:id="9" w:name="_Toc322600037" w:displacedByCustomXml="next"/>
                    <w:bookmarkStart w:id="10" w:name="_Toc322600015" w:displacedByCustomXml="next"/>
                    <w:bookmarkStart w:id="11" w:name="_Toc322599008" w:displacedByCustomXml="next"/>
                    <w:sdt>
                      <w:sdtPr>
                        <w:alias w:val="Title"/>
                        <w:tag w:val=""/>
                        <w:id w:val="1997915227"/>
                        <w:placeholder>
                          <w:docPart w:val="51D1AD27DE6F4CB2839AF8A0C98274B7"/>
                        </w:placeholder>
                        <w:dataBinding w:prefixMappings="xmlns:ns0='http://purl.org/dc/elements/1.1/' xmlns:ns1='http://schemas.openxmlformats.org/package/2006/metadata/core-properties' " w:xpath="/ns1:coreProperties[1]/ns0:title[1]" w:storeItemID="{6C3C8BC8-F283-45AE-878A-BAB7291924A1}"/>
                        <w:text/>
                      </w:sdtPr>
                      <w:sdtEndPr/>
                      <w:sdtContent>
                        <w:p w14:paraId="54477989" w14:textId="09CA7BF7" w:rsidR="00677E3B" w:rsidRPr="00C80488" w:rsidRDefault="0032095C" w:rsidP="005E3548">
                          <w:pPr>
                            <w:pStyle w:val="PublicationTitle"/>
                          </w:pPr>
                          <w:r>
                            <w:t>Patient G</w:t>
                          </w:r>
                          <w:r w:rsidR="00AC0FAF">
                            <w:t>roup Direction (PGD) Template</w:t>
                          </w:r>
                        </w:p>
                      </w:sdtContent>
                    </w:sdt>
                    <w:p w14:paraId="2A4C1A51" w14:textId="77777777" w:rsidR="0008084C" w:rsidRDefault="00CC3F5E" w:rsidP="000B7D15">
                      <w:pPr>
                        <w:pStyle w:val="Publicationsubtitle"/>
                      </w:pPr>
                      <w:r w:rsidRPr="006F55E9">
                        <w:t xml:space="preserve">Administration of </w:t>
                      </w:r>
                    </w:p>
                    <w:p w14:paraId="7E8DE909" w14:textId="77777777" w:rsidR="00DE5B0A" w:rsidRDefault="00DE5B0A" w:rsidP="000B7D15">
                      <w:pPr>
                        <w:pStyle w:val="Publicationsubtitle"/>
                      </w:pPr>
                      <w:r w:rsidRPr="00DE5B0A">
                        <w:t xml:space="preserve">AstraZeneca COVID-19 Vaccine (ChAdOx1-S [Recombinant]) </w:t>
                      </w:r>
                    </w:p>
                    <w:p w14:paraId="184202B4" w14:textId="41DE0C62" w:rsidR="000B7D15" w:rsidRPr="000B7D15" w:rsidRDefault="000B7D15" w:rsidP="000B7D15">
                      <w:pPr>
                        <w:pStyle w:val="Publicationsubtitle"/>
                        <w:rPr>
                          <w:sz w:val="28"/>
                        </w:rPr>
                      </w:pPr>
                      <w:r>
                        <w:rPr>
                          <w:b w:val="0"/>
                          <w:sz w:val="28"/>
                        </w:rPr>
                        <w:t>Note other COVID19 vaccines are not covered by this PGD – separate PGDs will be available.</w:t>
                      </w:r>
                    </w:p>
                    <w:p w14:paraId="7B6AC446" w14:textId="0DC82918" w:rsidR="00D35B5F" w:rsidRPr="00A70E7E" w:rsidRDefault="00CC3F5E" w:rsidP="005E3548">
                      <w:pPr>
                        <w:pStyle w:val="Publicationdate"/>
                      </w:pPr>
                      <w:r>
                        <w:t xml:space="preserve">Publication date: </w:t>
                      </w:r>
                      <w:r w:rsidR="001A2346">
                        <w:t>31</w:t>
                      </w:r>
                      <w:r w:rsidR="008E5553">
                        <w:t xml:space="preserve"> </w:t>
                      </w:r>
                      <w:r w:rsidR="00E27A0C">
                        <w:t>December</w:t>
                      </w:r>
                      <w:r>
                        <w:t xml:space="preserve"> </w:t>
                      </w:r>
                      <w:r w:rsidR="00E27A0C">
                        <w:t>2020</w:t>
                      </w:r>
                      <w:bookmarkEnd w:id="11"/>
                      <w:bookmarkEnd w:id="10"/>
                      <w:bookmarkEnd w:id="9"/>
                      <w:bookmarkEnd w:id="8"/>
                      <w:bookmarkEnd w:id="7"/>
                      <w:bookmarkEnd w:id="6"/>
                    </w:p>
                  </w:txbxContent>
                </v:textbox>
                <w10:wrap anchorx="margin"/>
              </v:shape>
            </w:pict>
          </mc:Fallback>
        </mc:AlternateContent>
      </w:r>
    </w:p>
    <w:p w14:paraId="209364AE" w14:textId="518A2F5E" w:rsidR="00021AE4" w:rsidRDefault="00021AE4" w:rsidP="00021AE4">
      <w:pPr>
        <w:pStyle w:val="Coverdisclaimer"/>
      </w:pPr>
    </w:p>
    <w:p w14:paraId="3D47FFEA" w14:textId="72F9D35A" w:rsidR="00021AE4" w:rsidRDefault="00021AE4" w:rsidP="00021AE4">
      <w:pPr>
        <w:pStyle w:val="Coverdisclaimer"/>
      </w:pPr>
    </w:p>
    <w:p w14:paraId="200FB901" w14:textId="16391A3B" w:rsidR="00021AE4" w:rsidRDefault="00021AE4" w:rsidP="00021AE4">
      <w:pPr>
        <w:pStyle w:val="Coverdisclaimer"/>
      </w:pPr>
    </w:p>
    <w:p w14:paraId="27B00C1F" w14:textId="023EDCE9" w:rsidR="00021AE4" w:rsidRDefault="00021AE4" w:rsidP="00021AE4">
      <w:pPr>
        <w:pStyle w:val="Coverdisclaimer"/>
      </w:pPr>
    </w:p>
    <w:p w14:paraId="1D671C9F" w14:textId="17C1CD51" w:rsidR="00021AE4" w:rsidRDefault="00021AE4" w:rsidP="00021AE4">
      <w:pPr>
        <w:pStyle w:val="Coverdisclaimer"/>
      </w:pPr>
    </w:p>
    <w:p w14:paraId="0C5AE314" w14:textId="77777777" w:rsidR="0040598E" w:rsidRDefault="0040598E" w:rsidP="005E3548"/>
    <w:p w14:paraId="6E560E87" w14:textId="3E5159F5" w:rsidR="0040598E" w:rsidRDefault="0040598E" w:rsidP="005E3548"/>
    <w:p w14:paraId="3B138152" w14:textId="77777777" w:rsidR="00B86788" w:rsidRDefault="00B86788" w:rsidP="005E3548"/>
    <w:p w14:paraId="7F2315B8" w14:textId="77777777" w:rsidR="00391F40" w:rsidRDefault="00391F40" w:rsidP="00391F40"/>
    <w:p w14:paraId="000525E4" w14:textId="77777777" w:rsidR="00391F40" w:rsidRDefault="00391F40" w:rsidP="00391F40"/>
    <w:p w14:paraId="608B3A9F" w14:textId="77777777" w:rsidR="00391F40" w:rsidRDefault="00391F40" w:rsidP="00391F40"/>
    <w:p w14:paraId="5854D8B4" w14:textId="77777777" w:rsidR="00391F40" w:rsidRDefault="00391F40" w:rsidP="00391F40"/>
    <w:p w14:paraId="07F2083D" w14:textId="77777777" w:rsidR="00391F40" w:rsidRDefault="00391F40" w:rsidP="00391F40"/>
    <w:p w14:paraId="157B7B8D" w14:textId="77777777" w:rsidR="00391F40" w:rsidRPr="006243AC" w:rsidRDefault="00391F40" w:rsidP="00391F40">
      <w:pPr>
        <w:pStyle w:val="Coverdisclaimer"/>
      </w:pPr>
      <w:r>
        <w:t>This specimen patient group d</w:t>
      </w:r>
      <w:r w:rsidRPr="006243AC">
        <w:t>irection</w:t>
      </w:r>
      <w:r>
        <w:t xml:space="preserve"> (PGD)</w:t>
      </w:r>
      <w:r w:rsidRPr="006243AC">
        <w:t xml:space="preserve"> template has been produced by </w:t>
      </w:r>
      <w:r>
        <w:t>Public Health</w:t>
      </w:r>
      <w:r w:rsidRPr="00585762">
        <w:t xml:space="preserve"> Scotland</w:t>
      </w:r>
      <w:r>
        <w:rPr>
          <w:i/>
        </w:rPr>
        <w:t xml:space="preserve"> </w:t>
      </w:r>
      <w:r w:rsidRPr="006243AC">
        <w:t xml:space="preserve">to assist NHS </w:t>
      </w:r>
      <w:r>
        <w:t>b</w:t>
      </w:r>
      <w:r w:rsidRPr="006243AC">
        <w:t>oards</w:t>
      </w:r>
      <w:r>
        <w:t>.</w:t>
      </w:r>
    </w:p>
    <w:p w14:paraId="5385048C" w14:textId="131A62C3" w:rsidR="005A014C" w:rsidRDefault="00391F40" w:rsidP="00391F40">
      <w:pPr>
        <w:pStyle w:val="Coverdisclaimer"/>
        <w:sectPr w:rsidR="005A014C" w:rsidSect="0040598E">
          <w:footerReference w:type="default" r:id="rId8"/>
          <w:headerReference w:type="first" r:id="rId9"/>
          <w:footerReference w:type="first" r:id="rId10"/>
          <w:pgSz w:w="11906" w:h="16838"/>
          <w:pgMar w:top="1021" w:right="851" w:bottom="1021" w:left="851" w:header="709" w:footer="680" w:gutter="0"/>
          <w:cols w:space="708"/>
          <w:titlePg/>
          <w:docGrid w:linePitch="360"/>
        </w:sectPr>
      </w:pPr>
      <w:r w:rsidRPr="006243AC">
        <w:t xml:space="preserve">NHS </w:t>
      </w:r>
      <w:r>
        <w:t>b</w:t>
      </w:r>
      <w:r w:rsidRPr="006243AC">
        <w:t xml:space="preserve">oards should amend/adapt this </w:t>
      </w:r>
      <w:r>
        <w:t>PGD</w:t>
      </w:r>
      <w:r w:rsidRPr="006243AC">
        <w:t xml:space="preserve"> template and must ensure that the </w:t>
      </w:r>
      <w:r>
        <w:t>PGD</w:t>
      </w:r>
      <w:r w:rsidRPr="006243AC">
        <w:t xml:space="preserve"> is considered and approved in line with local clinical governance arrangements for </w:t>
      </w:r>
      <w:r>
        <w:t>PGDs.</w:t>
      </w:r>
    </w:p>
    <w:p w14:paraId="17E6ECA9" w14:textId="77777777" w:rsidR="00A70E7E" w:rsidRPr="000D322E" w:rsidRDefault="00A70E7E" w:rsidP="000D322E">
      <w:pPr>
        <w:pStyle w:val="TOCHeading"/>
      </w:pPr>
      <w:r w:rsidRPr="000D322E">
        <w:lastRenderedPageBreak/>
        <w:t>Version history</w:t>
      </w:r>
    </w:p>
    <w:tbl>
      <w:tblPr>
        <w:tblStyle w:val="TableGrid"/>
        <w:tblW w:w="9773" w:type="dxa"/>
        <w:tblLayout w:type="fixed"/>
        <w:tblLook w:val="0620" w:firstRow="1" w:lastRow="0" w:firstColumn="0" w:lastColumn="0" w:noHBand="1" w:noVBand="1"/>
      </w:tblPr>
      <w:tblGrid>
        <w:gridCol w:w="1040"/>
        <w:gridCol w:w="1224"/>
        <w:gridCol w:w="7509"/>
      </w:tblGrid>
      <w:tr w:rsidR="00A70E7E" w14:paraId="16A2304D" w14:textId="77777777" w:rsidTr="00F32AFF">
        <w:trPr>
          <w:cnfStyle w:val="100000000000" w:firstRow="1" w:lastRow="0" w:firstColumn="0" w:lastColumn="0" w:oddVBand="0" w:evenVBand="0" w:oddHBand="0" w:evenHBand="0" w:firstRowFirstColumn="0" w:firstRowLastColumn="0" w:lastRowFirstColumn="0" w:lastRowLastColumn="0"/>
          <w:cantSplit/>
          <w:trHeight w:val="397"/>
        </w:trPr>
        <w:tc>
          <w:tcPr>
            <w:tcW w:w="1040" w:type="dxa"/>
          </w:tcPr>
          <w:p w14:paraId="1111DFCC" w14:textId="77777777" w:rsidR="00A70E7E" w:rsidRDefault="00A70E7E" w:rsidP="005E3548">
            <w:pPr>
              <w:pStyle w:val="TableHead"/>
            </w:pPr>
            <w:r>
              <w:t>Version</w:t>
            </w:r>
          </w:p>
        </w:tc>
        <w:tc>
          <w:tcPr>
            <w:tcW w:w="1224" w:type="dxa"/>
          </w:tcPr>
          <w:p w14:paraId="75C344C3" w14:textId="67033F3C" w:rsidR="00A70E7E" w:rsidRDefault="00A70E7E" w:rsidP="005E3548">
            <w:pPr>
              <w:pStyle w:val="TableHead"/>
            </w:pPr>
            <w:r>
              <w:t>Date</w:t>
            </w:r>
          </w:p>
        </w:tc>
        <w:tc>
          <w:tcPr>
            <w:tcW w:w="7509" w:type="dxa"/>
          </w:tcPr>
          <w:p w14:paraId="5F31DAC2" w14:textId="77777777" w:rsidR="00A70E7E" w:rsidRDefault="00A70E7E" w:rsidP="005E3548">
            <w:pPr>
              <w:pStyle w:val="TableHead"/>
            </w:pPr>
            <w:r>
              <w:t>Summary of changes</w:t>
            </w:r>
          </w:p>
        </w:tc>
      </w:tr>
      <w:tr w:rsidR="00A70E7E" w14:paraId="164B8E63" w14:textId="77777777" w:rsidTr="00E92F30">
        <w:tblPrEx>
          <w:tblCellMar>
            <w:top w:w="0" w:type="dxa"/>
            <w:bottom w:w="0" w:type="dxa"/>
          </w:tblCellMar>
        </w:tblPrEx>
        <w:trPr>
          <w:trHeight w:val="397"/>
        </w:trPr>
        <w:tc>
          <w:tcPr>
            <w:tcW w:w="1040" w:type="dxa"/>
          </w:tcPr>
          <w:p w14:paraId="6723BC0F" w14:textId="0E6A1434" w:rsidR="00A70E7E" w:rsidRPr="002700AB" w:rsidRDefault="00E27A0C" w:rsidP="005E3548">
            <w:pPr>
              <w:pStyle w:val="TableBody"/>
              <w:rPr>
                <w:color w:val="auto"/>
              </w:rPr>
            </w:pPr>
            <w:r w:rsidRPr="002700AB">
              <w:rPr>
                <w:color w:val="auto"/>
              </w:rPr>
              <w:t>1.0</w:t>
            </w:r>
          </w:p>
        </w:tc>
        <w:tc>
          <w:tcPr>
            <w:tcW w:w="1224" w:type="dxa"/>
          </w:tcPr>
          <w:p w14:paraId="60F26D3B" w14:textId="31A7127E" w:rsidR="00A70E7E" w:rsidRPr="002700AB" w:rsidRDefault="001A2346" w:rsidP="00C61770">
            <w:pPr>
              <w:pStyle w:val="TableBody"/>
              <w:rPr>
                <w:color w:val="auto"/>
              </w:rPr>
            </w:pPr>
            <w:r>
              <w:rPr>
                <w:color w:val="auto"/>
              </w:rPr>
              <w:t>31</w:t>
            </w:r>
            <w:r w:rsidR="00C61770" w:rsidRPr="00304C4F">
              <w:rPr>
                <w:color w:val="auto"/>
              </w:rPr>
              <w:t>/12/20</w:t>
            </w:r>
          </w:p>
        </w:tc>
        <w:tc>
          <w:tcPr>
            <w:tcW w:w="7509" w:type="dxa"/>
          </w:tcPr>
          <w:p w14:paraId="4F554BD8" w14:textId="3C96D6DB" w:rsidR="00A70E7E" w:rsidRDefault="0080283E" w:rsidP="0080283E">
            <w:pPr>
              <w:pStyle w:val="Tablebullet1"/>
              <w:numPr>
                <w:ilvl w:val="0"/>
                <w:numId w:val="0"/>
              </w:numPr>
              <w:ind w:left="227" w:hanging="227"/>
            </w:pPr>
            <w:r>
              <w:rPr>
                <w:color w:val="auto"/>
              </w:rPr>
              <w:t>N</w:t>
            </w:r>
            <w:r w:rsidR="00C61770" w:rsidRPr="002700AB">
              <w:rPr>
                <w:color w:val="auto"/>
              </w:rPr>
              <w:t xml:space="preserve">ew PGD </w:t>
            </w:r>
          </w:p>
        </w:tc>
      </w:tr>
      <w:tr w:rsidR="00A70E7E" w14:paraId="23D77CB8" w14:textId="77777777" w:rsidTr="00E92F30">
        <w:tblPrEx>
          <w:tblCellMar>
            <w:top w:w="0" w:type="dxa"/>
            <w:bottom w:w="0" w:type="dxa"/>
          </w:tblCellMar>
        </w:tblPrEx>
        <w:trPr>
          <w:trHeight w:val="397"/>
        </w:trPr>
        <w:tc>
          <w:tcPr>
            <w:tcW w:w="1040" w:type="dxa"/>
          </w:tcPr>
          <w:p w14:paraId="6BA23B89" w14:textId="154798D7" w:rsidR="00A70E7E" w:rsidRPr="002700AB" w:rsidRDefault="00A70E7E" w:rsidP="005E3548">
            <w:pPr>
              <w:pStyle w:val="TableBody"/>
              <w:rPr>
                <w:color w:val="auto"/>
              </w:rPr>
            </w:pPr>
          </w:p>
        </w:tc>
        <w:tc>
          <w:tcPr>
            <w:tcW w:w="1224" w:type="dxa"/>
          </w:tcPr>
          <w:p w14:paraId="49D2F33A" w14:textId="76BF1B90" w:rsidR="00A70E7E" w:rsidRPr="002700AB" w:rsidRDefault="00A70E7E" w:rsidP="005E3548">
            <w:pPr>
              <w:pStyle w:val="TableBody"/>
              <w:rPr>
                <w:color w:val="auto"/>
              </w:rPr>
            </w:pPr>
          </w:p>
        </w:tc>
        <w:tc>
          <w:tcPr>
            <w:tcW w:w="7509" w:type="dxa"/>
          </w:tcPr>
          <w:p w14:paraId="3CC9C6AC" w14:textId="1C9161A5" w:rsidR="00A70E7E" w:rsidRPr="002700AB" w:rsidRDefault="00A70E7E" w:rsidP="00BF234F">
            <w:pPr>
              <w:pStyle w:val="Tablebullet1"/>
              <w:numPr>
                <w:ilvl w:val="0"/>
                <w:numId w:val="0"/>
              </w:numPr>
              <w:ind w:left="360"/>
              <w:rPr>
                <w:color w:val="auto"/>
              </w:rPr>
            </w:pPr>
          </w:p>
        </w:tc>
      </w:tr>
    </w:tbl>
    <w:p w14:paraId="29158BFE" w14:textId="77777777" w:rsidR="00BF234F" w:rsidRDefault="00BF234F" w:rsidP="00D27B44">
      <w:pPr>
        <w:pStyle w:val="TOCHeading"/>
      </w:pPr>
    </w:p>
    <w:p w14:paraId="3AA84BE4" w14:textId="77777777" w:rsidR="00BF234F" w:rsidRDefault="00BF234F" w:rsidP="00D27B44">
      <w:pPr>
        <w:pStyle w:val="TOCHeading"/>
      </w:pPr>
    </w:p>
    <w:p w14:paraId="657441A4" w14:textId="77777777" w:rsidR="00BF234F" w:rsidRDefault="00BF234F" w:rsidP="00D27B44">
      <w:pPr>
        <w:pStyle w:val="TOCHeading"/>
      </w:pPr>
    </w:p>
    <w:p w14:paraId="38072C49" w14:textId="77777777" w:rsidR="00BF234F" w:rsidRDefault="00BF234F" w:rsidP="00D27B44">
      <w:pPr>
        <w:pStyle w:val="TOCHeading"/>
      </w:pPr>
    </w:p>
    <w:p w14:paraId="063AC217" w14:textId="77777777" w:rsidR="00BF234F" w:rsidRDefault="00BF234F" w:rsidP="00D27B44">
      <w:pPr>
        <w:pStyle w:val="TOCHeading"/>
      </w:pPr>
    </w:p>
    <w:p w14:paraId="1734B078" w14:textId="77777777" w:rsidR="00BF234F" w:rsidRDefault="00BF234F" w:rsidP="00D27B44">
      <w:pPr>
        <w:pStyle w:val="TOCHeading"/>
      </w:pPr>
    </w:p>
    <w:p w14:paraId="5B62A357" w14:textId="77777777" w:rsidR="00BF234F" w:rsidRDefault="00BF234F" w:rsidP="00D27B44">
      <w:pPr>
        <w:pStyle w:val="TOCHeading"/>
      </w:pPr>
    </w:p>
    <w:p w14:paraId="72211FD6" w14:textId="77777777" w:rsidR="00BF234F" w:rsidRDefault="00BF234F" w:rsidP="00D27B44">
      <w:pPr>
        <w:pStyle w:val="TOCHeading"/>
      </w:pPr>
    </w:p>
    <w:p w14:paraId="7BCF4FC5" w14:textId="77777777" w:rsidR="00BF234F" w:rsidRDefault="00BF234F" w:rsidP="00D27B44">
      <w:pPr>
        <w:pStyle w:val="TOCHeading"/>
      </w:pPr>
    </w:p>
    <w:p w14:paraId="5B3442A8" w14:textId="77777777" w:rsidR="00BF234F" w:rsidRDefault="00BF234F" w:rsidP="00D27B44">
      <w:pPr>
        <w:pStyle w:val="TOCHeading"/>
      </w:pPr>
    </w:p>
    <w:p w14:paraId="7EEE1E3D" w14:textId="77777777" w:rsidR="00BF234F" w:rsidRDefault="00BF234F" w:rsidP="00D27B44">
      <w:pPr>
        <w:pStyle w:val="TOCHeading"/>
      </w:pPr>
    </w:p>
    <w:p w14:paraId="100B09FE" w14:textId="77777777" w:rsidR="00BF234F" w:rsidRDefault="00BF234F" w:rsidP="00D27B44">
      <w:pPr>
        <w:pStyle w:val="TOCHeading"/>
      </w:pPr>
    </w:p>
    <w:p w14:paraId="128B0442" w14:textId="77777777" w:rsidR="00BF234F" w:rsidRPr="00BF234F" w:rsidRDefault="00BF234F" w:rsidP="00BF234F">
      <w:pPr>
        <w:rPr>
          <w:lang w:val="en-US"/>
        </w:rPr>
      </w:pPr>
    </w:p>
    <w:p w14:paraId="108CEE0D" w14:textId="3C0E4E8D" w:rsidR="00D27B44" w:rsidRDefault="00D27B44" w:rsidP="00D27B44">
      <w:pPr>
        <w:pStyle w:val="TOCHeading"/>
      </w:pPr>
      <w:r>
        <w:t>Contents</w:t>
      </w:r>
    </w:p>
    <w:p w14:paraId="6302BA33" w14:textId="4A6BE497" w:rsidR="00622DF8" w:rsidRDefault="00D27B44">
      <w:pPr>
        <w:pStyle w:val="TOC1"/>
        <w:tabs>
          <w:tab w:val="right" w:leader="dot" w:pos="10194"/>
        </w:tabs>
        <w:rPr>
          <w:rFonts w:asciiTheme="minorHAnsi" w:eastAsiaTheme="minorEastAsia" w:hAnsiTheme="minorHAnsi"/>
          <w:noProof/>
          <w:sz w:val="22"/>
          <w:lang w:eastAsia="en-GB"/>
        </w:rPr>
      </w:pPr>
      <w:r>
        <w:rPr>
          <w:lang w:val="en-US"/>
        </w:rPr>
        <w:fldChar w:fldCharType="begin"/>
      </w:r>
      <w:r>
        <w:rPr>
          <w:lang w:val="en-US"/>
        </w:rPr>
        <w:instrText xml:space="preserve"> TOC \o "1-1" \h \z \u </w:instrText>
      </w:r>
      <w:r>
        <w:rPr>
          <w:lang w:val="en-US"/>
        </w:rPr>
        <w:fldChar w:fldCharType="separate"/>
      </w:r>
      <w:hyperlink w:anchor="_Toc60297524" w:history="1">
        <w:r w:rsidR="00622DF8" w:rsidRPr="002D59DE">
          <w:rPr>
            <w:rStyle w:val="Hyperlink"/>
            <w:noProof/>
          </w:rPr>
          <w:t>Authorisation</w:t>
        </w:r>
        <w:r w:rsidR="00622DF8">
          <w:rPr>
            <w:noProof/>
            <w:webHidden/>
          </w:rPr>
          <w:tab/>
        </w:r>
        <w:r w:rsidR="00622DF8">
          <w:rPr>
            <w:noProof/>
            <w:webHidden/>
          </w:rPr>
          <w:fldChar w:fldCharType="begin"/>
        </w:r>
        <w:r w:rsidR="00622DF8">
          <w:rPr>
            <w:noProof/>
            <w:webHidden/>
          </w:rPr>
          <w:instrText xml:space="preserve"> PAGEREF _Toc60297524 \h </w:instrText>
        </w:r>
        <w:r w:rsidR="00622DF8">
          <w:rPr>
            <w:noProof/>
            <w:webHidden/>
          </w:rPr>
        </w:r>
        <w:r w:rsidR="00622DF8">
          <w:rPr>
            <w:noProof/>
            <w:webHidden/>
          </w:rPr>
          <w:fldChar w:fldCharType="separate"/>
        </w:r>
        <w:r w:rsidR="00622DF8">
          <w:rPr>
            <w:noProof/>
            <w:webHidden/>
          </w:rPr>
          <w:t>4</w:t>
        </w:r>
        <w:r w:rsidR="00622DF8">
          <w:rPr>
            <w:noProof/>
            <w:webHidden/>
          </w:rPr>
          <w:fldChar w:fldCharType="end"/>
        </w:r>
      </w:hyperlink>
    </w:p>
    <w:p w14:paraId="7AAE1695" w14:textId="57A9BB1E" w:rsidR="00622DF8" w:rsidRDefault="00EC5B51">
      <w:pPr>
        <w:pStyle w:val="TOC1"/>
        <w:tabs>
          <w:tab w:val="right" w:leader="dot" w:pos="10194"/>
        </w:tabs>
        <w:rPr>
          <w:rFonts w:asciiTheme="minorHAnsi" w:eastAsiaTheme="minorEastAsia" w:hAnsiTheme="minorHAnsi"/>
          <w:noProof/>
          <w:sz w:val="22"/>
          <w:lang w:eastAsia="en-GB"/>
        </w:rPr>
      </w:pPr>
      <w:hyperlink w:anchor="_Toc60297525" w:history="1">
        <w:r w:rsidR="00622DF8" w:rsidRPr="002D59DE">
          <w:rPr>
            <w:rStyle w:val="Hyperlink"/>
            <w:noProof/>
          </w:rPr>
          <w:t>Clinical situation</w:t>
        </w:r>
        <w:r w:rsidR="00622DF8">
          <w:rPr>
            <w:noProof/>
            <w:webHidden/>
          </w:rPr>
          <w:tab/>
        </w:r>
        <w:r w:rsidR="00622DF8">
          <w:rPr>
            <w:noProof/>
            <w:webHidden/>
          </w:rPr>
          <w:fldChar w:fldCharType="begin"/>
        </w:r>
        <w:r w:rsidR="00622DF8">
          <w:rPr>
            <w:noProof/>
            <w:webHidden/>
          </w:rPr>
          <w:instrText xml:space="preserve"> PAGEREF _Toc60297525 \h </w:instrText>
        </w:r>
        <w:r w:rsidR="00622DF8">
          <w:rPr>
            <w:noProof/>
            <w:webHidden/>
          </w:rPr>
        </w:r>
        <w:r w:rsidR="00622DF8">
          <w:rPr>
            <w:noProof/>
            <w:webHidden/>
          </w:rPr>
          <w:fldChar w:fldCharType="separate"/>
        </w:r>
        <w:r w:rsidR="00622DF8">
          <w:rPr>
            <w:noProof/>
            <w:webHidden/>
          </w:rPr>
          <w:t>5</w:t>
        </w:r>
        <w:r w:rsidR="00622DF8">
          <w:rPr>
            <w:noProof/>
            <w:webHidden/>
          </w:rPr>
          <w:fldChar w:fldCharType="end"/>
        </w:r>
      </w:hyperlink>
    </w:p>
    <w:p w14:paraId="03A54D17" w14:textId="25186E99" w:rsidR="00622DF8" w:rsidRDefault="00EC5B51">
      <w:pPr>
        <w:pStyle w:val="TOC1"/>
        <w:tabs>
          <w:tab w:val="right" w:leader="dot" w:pos="10194"/>
        </w:tabs>
        <w:rPr>
          <w:rFonts w:asciiTheme="minorHAnsi" w:eastAsiaTheme="minorEastAsia" w:hAnsiTheme="minorHAnsi"/>
          <w:noProof/>
          <w:sz w:val="22"/>
          <w:lang w:eastAsia="en-GB"/>
        </w:rPr>
      </w:pPr>
      <w:hyperlink w:anchor="_Toc60297526" w:history="1">
        <w:r w:rsidR="00622DF8" w:rsidRPr="002D59DE">
          <w:rPr>
            <w:rStyle w:val="Hyperlink"/>
            <w:noProof/>
          </w:rPr>
          <w:t>Description of treatment</w:t>
        </w:r>
        <w:r w:rsidR="00622DF8">
          <w:rPr>
            <w:noProof/>
            <w:webHidden/>
          </w:rPr>
          <w:tab/>
        </w:r>
        <w:r w:rsidR="00622DF8">
          <w:rPr>
            <w:noProof/>
            <w:webHidden/>
          </w:rPr>
          <w:fldChar w:fldCharType="begin"/>
        </w:r>
        <w:r w:rsidR="00622DF8">
          <w:rPr>
            <w:noProof/>
            <w:webHidden/>
          </w:rPr>
          <w:instrText xml:space="preserve"> PAGEREF _Toc60297526 \h </w:instrText>
        </w:r>
        <w:r w:rsidR="00622DF8">
          <w:rPr>
            <w:noProof/>
            <w:webHidden/>
          </w:rPr>
        </w:r>
        <w:r w:rsidR="00622DF8">
          <w:rPr>
            <w:noProof/>
            <w:webHidden/>
          </w:rPr>
          <w:fldChar w:fldCharType="separate"/>
        </w:r>
        <w:r w:rsidR="00622DF8">
          <w:rPr>
            <w:noProof/>
            <w:webHidden/>
          </w:rPr>
          <w:t>8</w:t>
        </w:r>
        <w:r w:rsidR="00622DF8">
          <w:rPr>
            <w:noProof/>
            <w:webHidden/>
          </w:rPr>
          <w:fldChar w:fldCharType="end"/>
        </w:r>
      </w:hyperlink>
    </w:p>
    <w:p w14:paraId="778B21AD" w14:textId="45B41DA0" w:rsidR="00622DF8" w:rsidRDefault="00EC5B51">
      <w:pPr>
        <w:pStyle w:val="TOC1"/>
        <w:tabs>
          <w:tab w:val="right" w:leader="dot" w:pos="10194"/>
        </w:tabs>
        <w:rPr>
          <w:rFonts w:asciiTheme="minorHAnsi" w:eastAsiaTheme="minorEastAsia" w:hAnsiTheme="minorHAnsi"/>
          <w:noProof/>
          <w:sz w:val="22"/>
          <w:lang w:eastAsia="en-GB"/>
        </w:rPr>
      </w:pPr>
      <w:hyperlink w:anchor="_Toc60297527" w:history="1">
        <w:r w:rsidR="00622DF8" w:rsidRPr="002D59DE">
          <w:rPr>
            <w:rStyle w:val="Hyperlink"/>
            <w:noProof/>
          </w:rPr>
          <w:t>Adverse reactions</w:t>
        </w:r>
        <w:r w:rsidR="00622DF8">
          <w:rPr>
            <w:noProof/>
            <w:webHidden/>
          </w:rPr>
          <w:tab/>
        </w:r>
        <w:r w:rsidR="00622DF8">
          <w:rPr>
            <w:noProof/>
            <w:webHidden/>
          </w:rPr>
          <w:fldChar w:fldCharType="begin"/>
        </w:r>
        <w:r w:rsidR="00622DF8">
          <w:rPr>
            <w:noProof/>
            <w:webHidden/>
          </w:rPr>
          <w:instrText xml:space="preserve"> PAGEREF _Toc60297527 \h </w:instrText>
        </w:r>
        <w:r w:rsidR="00622DF8">
          <w:rPr>
            <w:noProof/>
            <w:webHidden/>
          </w:rPr>
        </w:r>
        <w:r w:rsidR="00622DF8">
          <w:rPr>
            <w:noProof/>
            <w:webHidden/>
          </w:rPr>
          <w:fldChar w:fldCharType="separate"/>
        </w:r>
        <w:r w:rsidR="00622DF8">
          <w:rPr>
            <w:noProof/>
            <w:webHidden/>
          </w:rPr>
          <w:t>12</w:t>
        </w:r>
        <w:r w:rsidR="00622DF8">
          <w:rPr>
            <w:noProof/>
            <w:webHidden/>
          </w:rPr>
          <w:fldChar w:fldCharType="end"/>
        </w:r>
      </w:hyperlink>
    </w:p>
    <w:p w14:paraId="2F97DE23" w14:textId="43EBC6F2" w:rsidR="00622DF8" w:rsidRDefault="00EC5B51">
      <w:pPr>
        <w:pStyle w:val="TOC1"/>
        <w:tabs>
          <w:tab w:val="right" w:leader="dot" w:pos="10194"/>
        </w:tabs>
        <w:rPr>
          <w:rFonts w:asciiTheme="minorHAnsi" w:eastAsiaTheme="minorEastAsia" w:hAnsiTheme="minorHAnsi"/>
          <w:noProof/>
          <w:sz w:val="22"/>
          <w:lang w:eastAsia="en-GB"/>
        </w:rPr>
      </w:pPr>
      <w:hyperlink w:anchor="_Toc60297528" w:history="1">
        <w:r w:rsidR="00622DF8" w:rsidRPr="002D59DE">
          <w:rPr>
            <w:rStyle w:val="Hyperlink"/>
            <w:noProof/>
          </w:rPr>
          <w:t>Characteristics of staff authorised under the PGD</w:t>
        </w:r>
        <w:r w:rsidR="00622DF8">
          <w:rPr>
            <w:noProof/>
            <w:webHidden/>
          </w:rPr>
          <w:tab/>
        </w:r>
        <w:r w:rsidR="00622DF8">
          <w:rPr>
            <w:noProof/>
            <w:webHidden/>
          </w:rPr>
          <w:fldChar w:fldCharType="begin"/>
        </w:r>
        <w:r w:rsidR="00622DF8">
          <w:rPr>
            <w:noProof/>
            <w:webHidden/>
          </w:rPr>
          <w:instrText xml:space="preserve"> PAGEREF _Toc60297528 \h </w:instrText>
        </w:r>
        <w:r w:rsidR="00622DF8">
          <w:rPr>
            <w:noProof/>
            <w:webHidden/>
          </w:rPr>
        </w:r>
        <w:r w:rsidR="00622DF8">
          <w:rPr>
            <w:noProof/>
            <w:webHidden/>
          </w:rPr>
          <w:fldChar w:fldCharType="separate"/>
        </w:r>
        <w:r w:rsidR="00622DF8">
          <w:rPr>
            <w:noProof/>
            <w:webHidden/>
          </w:rPr>
          <w:t>15</w:t>
        </w:r>
        <w:r w:rsidR="00622DF8">
          <w:rPr>
            <w:noProof/>
            <w:webHidden/>
          </w:rPr>
          <w:fldChar w:fldCharType="end"/>
        </w:r>
      </w:hyperlink>
    </w:p>
    <w:p w14:paraId="7031BAF4" w14:textId="7D19828A" w:rsidR="00622DF8" w:rsidRDefault="00EC5B51">
      <w:pPr>
        <w:pStyle w:val="TOC1"/>
        <w:tabs>
          <w:tab w:val="right" w:leader="dot" w:pos="10194"/>
        </w:tabs>
        <w:rPr>
          <w:rFonts w:asciiTheme="minorHAnsi" w:eastAsiaTheme="minorEastAsia" w:hAnsiTheme="minorHAnsi"/>
          <w:noProof/>
          <w:sz w:val="22"/>
          <w:lang w:eastAsia="en-GB"/>
        </w:rPr>
      </w:pPr>
      <w:hyperlink w:anchor="_Toc60297529" w:history="1">
        <w:r w:rsidR="00622DF8" w:rsidRPr="002D59DE">
          <w:rPr>
            <w:rStyle w:val="Hyperlink"/>
            <w:noProof/>
          </w:rPr>
          <w:t>Audit trail</w:t>
        </w:r>
        <w:r w:rsidR="00622DF8">
          <w:rPr>
            <w:noProof/>
            <w:webHidden/>
          </w:rPr>
          <w:tab/>
        </w:r>
        <w:r w:rsidR="00622DF8">
          <w:rPr>
            <w:noProof/>
            <w:webHidden/>
          </w:rPr>
          <w:fldChar w:fldCharType="begin"/>
        </w:r>
        <w:r w:rsidR="00622DF8">
          <w:rPr>
            <w:noProof/>
            <w:webHidden/>
          </w:rPr>
          <w:instrText xml:space="preserve"> PAGEREF _Toc60297529 \h </w:instrText>
        </w:r>
        <w:r w:rsidR="00622DF8">
          <w:rPr>
            <w:noProof/>
            <w:webHidden/>
          </w:rPr>
        </w:r>
        <w:r w:rsidR="00622DF8">
          <w:rPr>
            <w:noProof/>
            <w:webHidden/>
          </w:rPr>
          <w:fldChar w:fldCharType="separate"/>
        </w:r>
        <w:r w:rsidR="00622DF8">
          <w:rPr>
            <w:noProof/>
            <w:webHidden/>
          </w:rPr>
          <w:t>17</w:t>
        </w:r>
        <w:r w:rsidR="00622DF8">
          <w:rPr>
            <w:noProof/>
            <w:webHidden/>
          </w:rPr>
          <w:fldChar w:fldCharType="end"/>
        </w:r>
      </w:hyperlink>
    </w:p>
    <w:p w14:paraId="3EDE2577" w14:textId="416AC18A" w:rsidR="00622DF8" w:rsidRDefault="00EC5B51">
      <w:pPr>
        <w:pStyle w:val="TOC1"/>
        <w:tabs>
          <w:tab w:val="right" w:leader="dot" w:pos="10194"/>
        </w:tabs>
        <w:rPr>
          <w:rFonts w:asciiTheme="minorHAnsi" w:eastAsiaTheme="minorEastAsia" w:hAnsiTheme="minorHAnsi"/>
          <w:noProof/>
          <w:sz w:val="22"/>
          <w:lang w:eastAsia="en-GB"/>
        </w:rPr>
      </w:pPr>
      <w:hyperlink w:anchor="_Toc60297530" w:history="1">
        <w:r w:rsidR="00622DF8" w:rsidRPr="002D59DE">
          <w:rPr>
            <w:rStyle w:val="Hyperlink"/>
            <w:noProof/>
          </w:rPr>
          <w:t>Additional references</w:t>
        </w:r>
        <w:r w:rsidR="00622DF8">
          <w:rPr>
            <w:noProof/>
            <w:webHidden/>
          </w:rPr>
          <w:tab/>
        </w:r>
        <w:r w:rsidR="00622DF8">
          <w:rPr>
            <w:noProof/>
            <w:webHidden/>
          </w:rPr>
          <w:fldChar w:fldCharType="begin"/>
        </w:r>
        <w:r w:rsidR="00622DF8">
          <w:rPr>
            <w:noProof/>
            <w:webHidden/>
          </w:rPr>
          <w:instrText xml:space="preserve"> PAGEREF _Toc60297530 \h </w:instrText>
        </w:r>
        <w:r w:rsidR="00622DF8">
          <w:rPr>
            <w:noProof/>
            <w:webHidden/>
          </w:rPr>
        </w:r>
        <w:r w:rsidR="00622DF8">
          <w:rPr>
            <w:noProof/>
            <w:webHidden/>
          </w:rPr>
          <w:fldChar w:fldCharType="separate"/>
        </w:r>
        <w:r w:rsidR="00622DF8">
          <w:rPr>
            <w:noProof/>
            <w:webHidden/>
          </w:rPr>
          <w:t>18</w:t>
        </w:r>
        <w:r w:rsidR="00622DF8">
          <w:rPr>
            <w:noProof/>
            <w:webHidden/>
          </w:rPr>
          <w:fldChar w:fldCharType="end"/>
        </w:r>
      </w:hyperlink>
    </w:p>
    <w:p w14:paraId="6B5025C3" w14:textId="648DA661" w:rsidR="00622DF8" w:rsidRDefault="00EC5B51">
      <w:pPr>
        <w:pStyle w:val="TOC1"/>
        <w:tabs>
          <w:tab w:val="right" w:leader="dot" w:pos="10194"/>
        </w:tabs>
        <w:rPr>
          <w:rFonts w:asciiTheme="minorHAnsi" w:eastAsiaTheme="minorEastAsia" w:hAnsiTheme="minorHAnsi"/>
          <w:noProof/>
          <w:sz w:val="22"/>
          <w:lang w:eastAsia="en-GB"/>
        </w:rPr>
      </w:pPr>
      <w:hyperlink w:anchor="_Toc60297531" w:history="1">
        <w:r w:rsidR="00622DF8" w:rsidRPr="002D59DE">
          <w:rPr>
            <w:rStyle w:val="Hyperlink"/>
            <w:noProof/>
          </w:rPr>
          <w:t>PGD for administration of COVID-19 Vaccine (ChAdOx1-S [recombinant]) AstraZeneca PGD v1.0 Valid from: 31/12/2020 Expiry: 30/11/2021 - authorisation</w:t>
        </w:r>
        <w:r w:rsidR="00622DF8">
          <w:rPr>
            <w:noProof/>
            <w:webHidden/>
          </w:rPr>
          <w:tab/>
        </w:r>
        <w:r w:rsidR="00622DF8">
          <w:rPr>
            <w:noProof/>
            <w:webHidden/>
          </w:rPr>
          <w:fldChar w:fldCharType="begin"/>
        </w:r>
        <w:r w:rsidR="00622DF8">
          <w:rPr>
            <w:noProof/>
            <w:webHidden/>
          </w:rPr>
          <w:instrText xml:space="preserve"> PAGEREF _Toc60297531 \h </w:instrText>
        </w:r>
        <w:r w:rsidR="00622DF8">
          <w:rPr>
            <w:noProof/>
            <w:webHidden/>
          </w:rPr>
        </w:r>
        <w:r w:rsidR="00622DF8">
          <w:rPr>
            <w:noProof/>
            <w:webHidden/>
          </w:rPr>
          <w:fldChar w:fldCharType="separate"/>
        </w:r>
        <w:r w:rsidR="00622DF8">
          <w:rPr>
            <w:noProof/>
            <w:webHidden/>
          </w:rPr>
          <w:t>19</w:t>
        </w:r>
        <w:r w:rsidR="00622DF8">
          <w:rPr>
            <w:noProof/>
            <w:webHidden/>
          </w:rPr>
          <w:fldChar w:fldCharType="end"/>
        </w:r>
      </w:hyperlink>
    </w:p>
    <w:p w14:paraId="0BE844B4" w14:textId="054FD749" w:rsidR="00D27B44" w:rsidRPr="00D27B44" w:rsidRDefault="00D27B44" w:rsidP="00D27B44">
      <w:pPr>
        <w:rPr>
          <w:lang w:val="en-US"/>
        </w:rPr>
      </w:pPr>
      <w:r>
        <w:rPr>
          <w:lang w:val="en-US"/>
        </w:rPr>
        <w:fldChar w:fldCharType="end"/>
      </w:r>
    </w:p>
    <w:p w14:paraId="5EAC8027" w14:textId="77777777" w:rsidR="00EB4784" w:rsidRDefault="000D322E" w:rsidP="00EB4784">
      <w:pPr>
        <w:pStyle w:val="Heading1"/>
      </w:pPr>
      <w:r>
        <w:br w:type="page"/>
      </w:r>
      <w:bookmarkStart w:id="6" w:name="_Toc60297524"/>
      <w:bookmarkStart w:id="7" w:name="_Toc57039405"/>
      <w:bookmarkStart w:id="8" w:name="_Toc57039487"/>
      <w:bookmarkStart w:id="9" w:name="_Toc57103215"/>
      <w:bookmarkStart w:id="10" w:name="_Toc57105451"/>
      <w:bookmarkStart w:id="11" w:name="_GoBack"/>
      <w:bookmarkEnd w:id="11"/>
      <w:r w:rsidR="00EB4784">
        <w:lastRenderedPageBreak/>
        <w:t>Authorisation</w:t>
      </w:r>
      <w:bookmarkEnd w:id="6"/>
    </w:p>
    <w:p w14:paraId="3244F1E6" w14:textId="40D13A5F" w:rsidR="002700AB" w:rsidRPr="002700AB" w:rsidRDefault="00CC3F5E" w:rsidP="002700AB">
      <w:pPr>
        <w:pStyle w:val="Heading2"/>
      </w:pPr>
      <w:r w:rsidRPr="00CC3F5E">
        <w:t xml:space="preserve">PGD </w:t>
      </w:r>
      <w:bookmarkEnd w:id="7"/>
      <w:bookmarkEnd w:id="8"/>
      <w:bookmarkEnd w:id="9"/>
      <w:bookmarkEnd w:id="10"/>
      <w:r w:rsidR="0033328C" w:rsidRPr="00E93976">
        <w:t xml:space="preserve">COVID-19 </w:t>
      </w:r>
      <w:r w:rsidR="00DE5B0A">
        <w:t>AstraZeneca COVID-19 Vaccine (ChAdOx1-S [Recombinant])</w:t>
      </w:r>
    </w:p>
    <w:p w14:paraId="6108E390" w14:textId="4728EE16" w:rsidR="00F22B32" w:rsidRPr="00F22B32" w:rsidRDefault="00F22B32" w:rsidP="00F22B32">
      <w:r w:rsidRPr="00F22B32">
        <w:t>This specimen Patient Group Direction (PGD) template has been produced by Public Health Scotland to assist NHS boards. NHS boards should ensure that the final PGD is considered and approved in line with local clinical governance arrangements for PGDs.</w:t>
      </w:r>
    </w:p>
    <w:p w14:paraId="33F4C73D" w14:textId="635E2763" w:rsidR="00F22B32" w:rsidRPr="00F22B32" w:rsidRDefault="00F22B32" w:rsidP="00F22B32">
      <w:r w:rsidRPr="00F22B32">
        <w:t xml:space="preserve">The qualified health professionals who may administer </w:t>
      </w:r>
      <w:r w:rsidR="00DE5B0A">
        <w:t xml:space="preserve">AstraZeneca COVID-19 Vaccine (ChAdOx1-S [Recombinant]) </w:t>
      </w:r>
      <w:r w:rsidRPr="00F22B32">
        <w:t>under this PGD can only do so as named individuals.</w:t>
      </w:r>
      <w:r w:rsidRPr="00F22B32">
        <w:rPr>
          <w:bCs/>
        </w:rPr>
        <w:t xml:space="preserve"> It is the responsibility of each professional to practice within the bounds of their own competence and in accordance with their own Code of Professional Conduct and to ensure </w:t>
      </w:r>
      <w:r w:rsidRPr="00F22B32">
        <w:t xml:space="preserve">familiarity with the </w:t>
      </w:r>
      <w:r w:rsidR="005069D0" w:rsidRPr="005069D0">
        <w:t xml:space="preserve">manufacturer’s product information/summary of product characteristics (SPC) </w:t>
      </w:r>
      <w:r w:rsidRPr="00F22B32">
        <w:t>for all vaccines administered in accordance with this PGD.</w:t>
      </w:r>
    </w:p>
    <w:p w14:paraId="508C4DDE" w14:textId="77777777" w:rsidR="00F22B32" w:rsidRPr="00F22B32" w:rsidRDefault="00F22B32" w:rsidP="00F22B32">
      <w:r w:rsidRPr="00F22B32">
        <w:t>NHS board governance arrangements will indicate how records of staff authorised to operate this PGD will be maintained. Under PGD legislation there can be no delegation. Administration of the vaccine has to be by the same practitioner who has assessed the patient under the PGD.</w:t>
      </w:r>
    </w:p>
    <w:p w14:paraId="511FB5C9" w14:textId="77777777" w:rsidR="000077AE" w:rsidRDefault="000077AE" w:rsidP="00CC3F5E">
      <w:pPr>
        <w:rPr>
          <w:b/>
        </w:rPr>
      </w:pPr>
    </w:p>
    <w:p w14:paraId="1FACC634" w14:textId="6DCC492A" w:rsidR="00CC3F5E" w:rsidRPr="00CC3F5E" w:rsidRDefault="00CC3F5E" w:rsidP="00CC3F5E">
      <w:pPr>
        <w:rPr>
          <w:b/>
        </w:rPr>
      </w:pPr>
      <w:r w:rsidRPr="00CC3F5E">
        <w:rPr>
          <w:b/>
        </w:rPr>
        <w:t>This PGD has been produced for NHS</w:t>
      </w:r>
      <w:r w:rsidR="00997DA7">
        <w:rPr>
          <w:b/>
        </w:rPr>
        <w:t xml:space="preserve">  </w:t>
      </w:r>
      <w:r w:rsidR="004A63A0">
        <w:t>………………………………………………</w:t>
      </w:r>
      <w:r w:rsidR="00997DA7">
        <w:t xml:space="preserve">  </w:t>
      </w:r>
      <w:r w:rsidRPr="00CC3F5E">
        <w:rPr>
          <w:b/>
        </w:rPr>
        <w:t>by:</w:t>
      </w:r>
    </w:p>
    <w:p w14:paraId="243596E4" w14:textId="43F4EEA7" w:rsidR="00CC3F5E" w:rsidRPr="00CC3F5E" w:rsidRDefault="00CC3F5E" w:rsidP="00CC3F5E">
      <w:r w:rsidRPr="00CC3F5E">
        <w:rPr>
          <w:b/>
        </w:rPr>
        <w:t>Doctor</w:t>
      </w:r>
      <w:r w:rsidR="004A63A0">
        <w:rPr>
          <w:b/>
        </w:rPr>
        <w:t xml:space="preserve"> </w:t>
      </w:r>
      <w:r w:rsidR="004A63A0" w:rsidRPr="004A63A0">
        <w:t>.</w:t>
      </w:r>
      <w:r w:rsidR="004A63A0">
        <w:t>………………………………………………....</w:t>
      </w:r>
      <w:r w:rsidRPr="00CC3F5E">
        <w:tab/>
      </w:r>
      <w:r w:rsidR="004A63A0">
        <w:rPr>
          <w:b/>
        </w:rPr>
        <w:t>Signature</w:t>
      </w:r>
    </w:p>
    <w:p w14:paraId="36EA65BF" w14:textId="2499E395" w:rsidR="00CC3F5E" w:rsidRPr="00CC3F5E" w:rsidRDefault="00CC3F5E" w:rsidP="00CC3F5E">
      <w:r w:rsidRPr="00CC3F5E">
        <w:rPr>
          <w:b/>
        </w:rPr>
        <w:t>Pharmacist</w:t>
      </w:r>
      <w:r w:rsidR="004A63A0">
        <w:rPr>
          <w:b/>
        </w:rPr>
        <w:t xml:space="preserve"> </w:t>
      </w:r>
      <w:r w:rsidR="004A63A0">
        <w:t>.……………………………………………</w:t>
      </w:r>
      <w:r w:rsidRPr="00CC3F5E">
        <w:tab/>
      </w:r>
      <w:r w:rsidR="004A63A0">
        <w:rPr>
          <w:b/>
        </w:rPr>
        <w:t>Signature</w:t>
      </w:r>
    </w:p>
    <w:p w14:paraId="594E1DB6" w14:textId="1FCE4C40" w:rsidR="00CC3F5E" w:rsidRPr="00CC3F5E" w:rsidRDefault="004A63A0" w:rsidP="00CC3F5E">
      <w:r>
        <w:rPr>
          <w:b/>
        </w:rPr>
        <w:t xml:space="preserve">Nurse </w:t>
      </w:r>
      <w:r w:rsidRPr="004A63A0">
        <w:t>……………………………………………………</w:t>
      </w:r>
      <w:r>
        <w:rPr>
          <w:b/>
        </w:rPr>
        <w:tab/>
        <w:t>Signature</w:t>
      </w:r>
    </w:p>
    <w:p w14:paraId="24D6BA57" w14:textId="77777777" w:rsidR="00CC3F5E" w:rsidRPr="00CC3F5E" w:rsidRDefault="00CC3F5E" w:rsidP="00CC3F5E">
      <w:pPr>
        <w:rPr>
          <w:b/>
        </w:rPr>
      </w:pPr>
    </w:p>
    <w:p w14:paraId="5CB772AC" w14:textId="553CE32B" w:rsidR="00CC3F5E" w:rsidRPr="00CC3F5E" w:rsidRDefault="00997DA7" w:rsidP="00CC3F5E">
      <w:pPr>
        <w:rPr>
          <w:b/>
        </w:rPr>
      </w:pPr>
      <w:r>
        <w:rPr>
          <w:b/>
        </w:rPr>
        <w:lastRenderedPageBreak/>
        <w:t xml:space="preserve">Approved on behalf of </w:t>
      </w:r>
      <w:r w:rsidR="00204519" w:rsidRPr="00CC3F5E">
        <w:rPr>
          <w:b/>
        </w:rPr>
        <w:t>NHS</w:t>
      </w:r>
      <w:r w:rsidR="00204519">
        <w:rPr>
          <w:b/>
        </w:rPr>
        <w:t xml:space="preserve">  </w:t>
      </w:r>
      <w:r w:rsidR="004A63A0">
        <w:t>……………………………………………………</w:t>
      </w:r>
      <w:r w:rsidR="00204519">
        <w:t xml:space="preserve"> </w:t>
      </w:r>
      <w:r w:rsidR="00204519" w:rsidRPr="00CC3F5E">
        <w:rPr>
          <w:b/>
        </w:rPr>
        <w:t>by:</w:t>
      </w:r>
    </w:p>
    <w:p w14:paraId="7D759F6C" w14:textId="3B844987" w:rsidR="00CC3F5E" w:rsidRPr="00CC3F5E" w:rsidRDefault="004A63A0" w:rsidP="00CC3F5E">
      <w:r>
        <w:rPr>
          <w:b/>
        </w:rPr>
        <w:t xml:space="preserve">Medical Director </w:t>
      </w:r>
      <w:r w:rsidRPr="004A63A0">
        <w:t>………………………………………</w:t>
      </w:r>
      <w:r>
        <w:tab/>
      </w:r>
      <w:r w:rsidRPr="004A63A0">
        <w:rPr>
          <w:b/>
        </w:rPr>
        <w:t>S</w:t>
      </w:r>
      <w:r>
        <w:rPr>
          <w:b/>
        </w:rPr>
        <w:t>ignature</w:t>
      </w:r>
      <w:r w:rsidR="00CC3F5E" w:rsidRPr="00CC3F5E">
        <w:t xml:space="preserve"> </w:t>
      </w:r>
    </w:p>
    <w:p w14:paraId="2471FF54" w14:textId="3197BC12" w:rsidR="00CC3F5E" w:rsidRPr="00CC3F5E" w:rsidRDefault="00CC3F5E" w:rsidP="00CC3F5E">
      <w:r w:rsidRPr="00CC3F5E">
        <w:rPr>
          <w:b/>
        </w:rPr>
        <w:t>Director of Pharmacy</w:t>
      </w:r>
      <w:r w:rsidR="00EA5C9E">
        <w:rPr>
          <w:b/>
        </w:rPr>
        <w:t>/</w:t>
      </w:r>
      <w:r w:rsidR="004A63A0">
        <w:rPr>
          <w:b/>
        </w:rPr>
        <w:br/>
        <w:t xml:space="preserve">Senior Pharmacist </w:t>
      </w:r>
      <w:r w:rsidR="004A63A0">
        <w:t>……………………………………</w:t>
      </w:r>
      <w:r w:rsidR="00EA5C9E">
        <w:rPr>
          <w:b/>
        </w:rPr>
        <w:tab/>
      </w:r>
      <w:r w:rsidR="004A63A0">
        <w:rPr>
          <w:b/>
        </w:rPr>
        <w:t>Signature</w:t>
      </w:r>
    </w:p>
    <w:p w14:paraId="445CEE31" w14:textId="34134026" w:rsidR="00CC3F5E" w:rsidRPr="00CC3F5E" w:rsidRDefault="00CC3F5E" w:rsidP="00CC3F5E">
      <w:r w:rsidRPr="00CC3F5E">
        <w:rPr>
          <w:b/>
        </w:rPr>
        <w:t xml:space="preserve">Clinical </w:t>
      </w:r>
      <w:r w:rsidR="004A63A0">
        <w:rPr>
          <w:b/>
        </w:rPr>
        <w:t xml:space="preserve">Governance Lead </w:t>
      </w:r>
      <w:r w:rsidR="004A63A0">
        <w:t>………………………….</w:t>
      </w:r>
      <w:r w:rsidRPr="00CC3F5E">
        <w:tab/>
      </w:r>
      <w:r w:rsidR="004A63A0">
        <w:rPr>
          <w:b/>
        </w:rPr>
        <w:t>Signature</w:t>
      </w:r>
    </w:p>
    <w:p w14:paraId="4360C5D4" w14:textId="5CA5D925" w:rsidR="00FA5E32" w:rsidRPr="00CC3F5E" w:rsidRDefault="00FA5E32" w:rsidP="00CC3F5E"/>
    <w:p w14:paraId="49AAC48E" w14:textId="5E600E2F" w:rsidR="00CC3F5E" w:rsidRPr="004A63A0" w:rsidRDefault="004A63A0" w:rsidP="00CC3F5E">
      <w:r>
        <w:rPr>
          <w:b/>
        </w:rPr>
        <w:t xml:space="preserve">Date approved: </w:t>
      </w:r>
    </w:p>
    <w:p w14:paraId="7CDA72FE" w14:textId="5CCE3D53" w:rsidR="00CC3F5E" w:rsidRDefault="00CC3F5E" w:rsidP="00CC3F5E">
      <w:r w:rsidRPr="00DF7194">
        <w:rPr>
          <w:b/>
        </w:rPr>
        <w:t>Effective from:</w:t>
      </w:r>
      <w:r w:rsidR="002700AB" w:rsidRPr="00DF7194">
        <w:t xml:space="preserve"> </w:t>
      </w:r>
      <w:r w:rsidR="0028579B">
        <w:t>31</w:t>
      </w:r>
      <w:r w:rsidRPr="00DF7194">
        <w:t>/</w:t>
      </w:r>
      <w:r w:rsidR="002700AB" w:rsidRPr="00DF7194">
        <w:t>12</w:t>
      </w:r>
      <w:r w:rsidRPr="00DF7194">
        <w:t>/2020</w:t>
      </w:r>
      <w:r w:rsidRPr="00CC3F5E">
        <w:tab/>
      </w:r>
      <w:r w:rsidRPr="00CC3F5E">
        <w:tab/>
      </w:r>
      <w:r w:rsidRPr="00CC3F5E">
        <w:tab/>
      </w:r>
      <w:r w:rsidRPr="00CC3F5E">
        <w:tab/>
      </w:r>
      <w:r w:rsidRPr="00CC3F5E">
        <w:rPr>
          <w:b/>
        </w:rPr>
        <w:t>Review date:</w:t>
      </w:r>
      <w:r w:rsidR="002700AB">
        <w:t xml:space="preserve"> 30/11</w:t>
      </w:r>
      <w:r w:rsidRPr="00CC3F5E">
        <w:t>/2021</w:t>
      </w:r>
      <w:r w:rsidRPr="00CC3F5E">
        <w:tab/>
      </w:r>
    </w:p>
    <w:p w14:paraId="4DF6AAAF" w14:textId="3E725D4C" w:rsidR="00CC3F5E" w:rsidRDefault="00CC3F5E" w:rsidP="00CC3F5E">
      <w:pPr>
        <w:pStyle w:val="Heading1"/>
      </w:pPr>
      <w:bookmarkStart w:id="12" w:name="_Toc60297525"/>
      <w:r>
        <w:t>Clinical situation</w:t>
      </w:r>
      <w:bookmarkEnd w:id="12"/>
    </w:p>
    <w:tbl>
      <w:tblPr>
        <w:tblStyle w:val="TableGrid"/>
        <w:tblW w:w="0" w:type="auto"/>
        <w:tblLook w:val="0620" w:firstRow="1" w:lastRow="0" w:firstColumn="0" w:lastColumn="0" w:noHBand="1" w:noVBand="1"/>
      </w:tblPr>
      <w:tblGrid>
        <w:gridCol w:w="2263"/>
        <w:gridCol w:w="7931"/>
      </w:tblGrid>
      <w:tr w:rsidR="0041222F" w14:paraId="714F3093" w14:textId="77777777" w:rsidTr="0041222F">
        <w:trPr>
          <w:cnfStyle w:val="100000000000" w:firstRow="1" w:lastRow="0" w:firstColumn="0" w:lastColumn="0" w:oddVBand="0" w:evenVBand="0" w:oddHBand="0" w:evenHBand="0" w:firstRowFirstColumn="0" w:firstRowLastColumn="0" w:lastRowFirstColumn="0" w:lastRowLastColumn="0"/>
          <w:cantSplit/>
        </w:trPr>
        <w:tc>
          <w:tcPr>
            <w:tcW w:w="2263" w:type="dxa"/>
          </w:tcPr>
          <w:p w14:paraId="2445C976" w14:textId="2A0E1A6D" w:rsidR="0041222F" w:rsidRDefault="00C23CE5" w:rsidP="0041222F">
            <w:pPr>
              <w:pStyle w:val="TableHead"/>
            </w:pPr>
            <w:r>
              <w:t>Category</w:t>
            </w:r>
          </w:p>
        </w:tc>
        <w:tc>
          <w:tcPr>
            <w:tcW w:w="7931" w:type="dxa"/>
          </w:tcPr>
          <w:p w14:paraId="244E779B" w14:textId="651C82E5" w:rsidR="0041222F" w:rsidRDefault="00C23CE5" w:rsidP="0041222F">
            <w:pPr>
              <w:pStyle w:val="TableHead"/>
            </w:pPr>
            <w:r>
              <w:t>Description</w:t>
            </w:r>
          </w:p>
        </w:tc>
      </w:tr>
      <w:tr w:rsidR="0041222F" w14:paraId="4547645B" w14:textId="77777777" w:rsidTr="0041222F">
        <w:tblPrEx>
          <w:tblCellMar>
            <w:top w:w="0" w:type="dxa"/>
            <w:bottom w:w="0" w:type="dxa"/>
          </w:tblCellMar>
        </w:tblPrEx>
        <w:tc>
          <w:tcPr>
            <w:tcW w:w="2263" w:type="dxa"/>
          </w:tcPr>
          <w:p w14:paraId="06076B3F" w14:textId="30B7B3BB" w:rsidR="0041222F" w:rsidRPr="007C5E0C" w:rsidRDefault="0041222F" w:rsidP="0041222F">
            <w:pPr>
              <w:pStyle w:val="TableBody"/>
              <w:rPr>
                <w:b/>
              </w:rPr>
            </w:pPr>
            <w:r w:rsidRPr="007C5E0C">
              <w:rPr>
                <w:b/>
              </w:rPr>
              <w:t>Indication</w:t>
            </w:r>
          </w:p>
        </w:tc>
        <w:tc>
          <w:tcPr>
            <w:tcW w:w="7931" w:type="dxa"/>
          </w:tcPr>
          <w:p w14:paraId="65A9FC78" w14:textId="52FB4734" w:rsidR="0041222F" w:rsidRPr="00567F26" w:rsidRDefault="00DE5B0A" w:rsidP="00567F26">
            <w:pPr>
              <w:pStyle w:val="TableBody"/>
              <w:rPr>
                <w:color w:val="auto"/>
              </w:rPr>
            </w:pPr>
            <w:r>
              <w:t xml:space="preserve">AstraZeneca COVID-19 Vaccine (ChAdOx1-S [Recombinant]) </w:t>
            </w:r>
            <w:r w:rsidR="00792DFF" w:rsidRPr="00567F26">
              <w:rPr>
                <w:color w:val="auto"/>
              </w:rPr>
              <w:t xml:space="preserve">is indicated for active immunisation against COVID-19 disease caused by SARS-CoV-2 virus in accordance with Scottish Government COVID-19 immunisation programme and recommendations given in Chapter 14a of the Immunisation Against Infectious Disease: the ‘Green Book’, JCVI statement on priority groups for COVID-19 vaccination from </w:t>
            </w:r>
            <w:r w:rsidR="007452EF" w:rsidRPr="005D5EFB">
              <w:rPr>
                <w:color w:val="auto"/>
              </w:rPr>
              <w:t>30th</w:t>
            </w:r>
            <w:r w:rsidR="00792DFF" w:rsidRPr="005D5EFB">
              <w:rPr>
                <w:color w:val="auto"/>
              </w:rPr>
              <w:t xml:space="preserve"> December 2020</w:t>
            </w:r>
            <w:r w:rsidR="00792DFF" w:rsidRPr="007452EF">
              <w:rPr>
                <w:color w:val="auto"/>
              </w:rPr>
              <w:t xml:space="preserve"> </w:t>
            </w:r>
            <w:r w:rsidR="00792DFF" w:rsidRPr="00567F26">
              <w:rPr>
                <w:color w:val="auto"/>
              </w:rPr>
              <w:t xml:space="preserve">and subsequent </w:t>
            </w:r>
            <w:r w:rsidR="00567F26">
              <w:rPr>
                <w:color w:val="auto"/>
              </w:rPr>
              <w:t>c</w:t>
            </w:r>
            <w:r w:rsidR="00792DFF" w:rsidRPr="00567F26">
              <w:rPr>
                <w:color w:val="auto"/>
              </w:rPr>
              <w:t>orrespondence/publications from Scottish Government.</w:t>
            </w:r>
          </w:p>
        </w:tc>
      </w:tr>
      <w:tr w:rsidR="0041222F" w14:paraId="77CE12AC" w14:textId="77777777" w:rsidTr="0041222F">
        <w:tblPrEx>
          <w:tblCellMar>
            <w:top w:w="0" w:type="dxa"/>
            <w:bottom w:w="0" w:type="dxa"/>
          </w:tblCellMar>
        </w:tblPrEx>
        <w:tc>
          <w:tcPr>
            <w:tcW w:w="2263" w:type="dxa"/>
          </w:tcPr>
          <w:p w14:paraId="5EE1CBF3" w14:textId="55A370DC" w:rsidR="0041222F" w:rsidRPr="007C5E0C" w:rsidRDefault="0041222F" w:rsidP="0041222F">
            <w:pPr>
              <w:pStyle w:val="TableBody"/>
              <w:rPr>
                <w:b/>
              </w:rPr>
            </w:pPr>
            <w:r w:rsidRPr="007C5E0C">
              <w:rPr>
                <w:b/>
              </w:rPr>
              <w:lastRenderedPageBreak/>
              <w:t>Inclusion criteria</w:t>
            </w:r>
          </w:p>
        </w:tc>
        <w:tc>
          <w:tcPr>
            <w:tcW w:w="7931" w:type="dxa"/>
          </w:tcPr>
          <w:p w14:paraId="33319558" w14:textId="77777777" w:rsidR="00792DFF" w:rsidRPr="00B30299" w:rsidRDefault="00792DFF" w:rsidP="00792DFF">
            <w:pPr>
              <w:pStyle w:val="TableBody"/>
              <w:rPr>
                <w:color w:val="auto"/>
              </w:rPr>
            </w:pPr>
            <w:r w:rsidRPr="00B30299">
              <w:rPr>
                <w:color w:val="auto"/>
              </w:rPr>
              <w:t>National policy must be followed in relation to the priority groups eligible for vaccination at a particular point in time.</w:t>
            </w:r>
          </w:p>
          <w:p w14:paraId="463CD785" w14:textId="77777777" w:rsidR="00792DFF" w:rsidRPr="00B30299" w:rsidRDefault="00792DFF" w:rsidP="00792DFF">
            <w:pPr>
              <w:pStyle w:val="TableBody"/>
              <w:rPr>
                <w:color w:val="auto"/>
              </w:rPr>
            </w:pPr>
            <w:r w:rsidRPr="00B30299">
              <w:rPr>
                <w:color w:val="auto"/>
              </w:rPr>
              <w:t>COVID-19 vaccine should be offered to the following individuals:</w:t>
            </w:r>
          </w:p>
          <w:p w14:paraId="2724F451" w14:textId="77777777" w:rsidR="00792DFF" w:rsidRPr="00B30299" w:rsidRDefault="00792DFF" w:rsidP="00792DFF">
            <w:pPr>
              <w:pStyle w:val="TableBody"/>
              <w:numPr>
                <w:ilvl w:val="0"/>
                <w:numId w:val="22"/>
              </w:numPr>
              <w:rPr>
                <w:color w:val="auto"/>
              </w:rPr>
            </w:pPr>
            <w:r w:rsidRPr="00B30299">
              <w:rPr>
                <w:color w:val="auto"/>
              </w:rPr>
              <w:t>Residents in a care home for older adults and their carers</w:t>
            </w:r>
          </w:p>
          <w:p w14:paraId="4FBD8996" w14:textId="77777777" w:rsidR="00792DFF" w:rsidRPr="00B30299" w:rsidRDefault="00792DFF" w:rsidP="00792DFF">
            <w:pPr>
              <w:pStyle w:val="TableBody"/>
              <w:numPr>
                <w:ilvl w:val="0"/>
                <w:numId w:val="22"/>
              </w:numPr>
              <w:rPr>
                <w:color w:val="auto"/>
              </w:rPr>
            </w:pPr>
            <w:r w:rsidRPr="00B30299">
              <w:rPr>
                <w:color w:val="auto"/>
              </w:rPr>
              <w:t xml:space="preserve">All those 80 years of age and over </w:t>
            </w:r>
          </w:p>
          <w:p w14:paraId="3554283E" w14:textId="09B174F6" w:rsidR="00792DFF" w:rsidRPr="00B30299" w:rsidRDefault="00792DFF" w:rsidP="00792DFF">
            <w:pPr>
              <w:pStyle w:val="TableBody"/>
              <w:numPr>
                <w:ilvl w:val="0"/>
                <w:numId w:val="22"/>
              </w:numPr>
              <w:rPr>
                <w:color w:val="auto"/>
              </w:rPr>
            </w:pPr>
            <w:r w:rsidRPr="00B30299">
              <w:rPr>
                <w:color w:val="auto"/>
              </w:rPr>
              <w:t>Frontline health and social care workers (as included in COVID-19 –SARS-Cov-2 chapter of Green Book, JCVI statement and Scottish Government CMO letters)</w:t>
            </w:r>
          </w:p>
          <w:p w14:paraId="7898A9D0" w14:textId="77777777" w:rsidR="00792DFF" w:rsidRPr="00B30299" w:rsidRDefault="00792DFF" w:rsidP="00792DFF">
            <w:pPr>
              <w:pStyle w:val="TableBody"/>
              <w:numPr>
                <w:ilvl w:val="0"/>
                <w:numId w:val="22"/>
              </w:numPr>
              <w:rPr>
                <w:color w:val="auto"/>
              </w:rPr>
            </w:pPr>
            <w:r w:rsidRPr="00B30299">
              <w:rPr>
                <w:color w:val="auto"/>
              </w:rPr>
              <w:t>All those 75 years of age and over</w:t>
            </w:r>
          </w:p>
          <w:p w14:paraId="13B781DB" w14:textId="77777777" w:rsidR="00792DFF" w:rsidRPr="00B30299" w:rsidRDefault="00792DFF" w:rsidP="00792DFF">
            <w:pPr>
              <w:pStyle w:val="TableBody"/>
              <w:numPr>
                <w:ilvl w:val="0"/>
                <w:numId w:val="22"/>
              </w:numPr>
              <w:rPr>
                <w:color w:val="auto"/>
              </w:rPr>
            </w:pPr>
            <w:r w:rsidRPr="00B30299">
              <w:rPr>
                <w:color w:val="auto"/>
              </w:rPr>
              <w:t>All those 70 years of age and over</w:t>
            </w:r>
          </w:p>
          <w:p w14:paraId="01FD7A9D" w14:textId="5FCDC89F" w:rsidR="00792DFF" w:rsidRPr="00792DFF" w:rsidRDefault="00792DFF" w:rsidP="00792DFF">
            <w:pPr>
              <w:pStyle w:val="TableBody"/>
              <w:numPr>
                <w:ilvl w:val="0"/>
                <w:numId w:val="22"/>
              </w:numPr>
            </w:pPr>
            <w:r w:rsidRPr="00B30299">
              <w:rPr>
                <w:color w:val="auto"/>
              </w:rPr>
              <w:t xml:space="preserve">Clinically extremely vulnerable (CEV) individuals (not including </w:t>
            </w:r>
            <w:r w:rsidR="00DE5B0A">
              <w:rPr>
                <w:color w:val="auto"/>
              </w:rPr>
              <w:t xml:space="preserve">all </w:t>
            </w:r>
            <w:r w:rsidRPr="00B30299">
              <w:rPr>
                <w:color w:val="auto"/>
              </w:rPr>
              <w:t>pregnant</w:t>
            </w:r>
            <w:r w:rsidR="00A31410">
              <w:rPr>
                <w:color w:val="auto"/>
              </w:rPr>
              <w:t xml:space="preserve"> women and those under </w:t>
            </w:r>
            <w:r w:rsidR="00A31410" w:rsidRPr="00284C23">
              <w:rPr>
                <w:color w:val="auto"/>
              </w:rPr>
              <w:t>1</w:t>
            </w:r>
            <w:r w:rsidR="0016110E" w:rsidRPr="00284C23">
              <w:rPr>
                <w:color w:val="auto"/>
              </w:rPr>
              <w:t>8</w:t>
            </w:r>
            <w:r w:rsidR="005D5EFB">
              <w:rPr>
                <w:color w:val="auto"/>
              </w:rPr>
              <w:t xml:space="preserve"> </w:t>
            </w:r>
            <w:r w:rsidRPr="00B30299">
              <w:rPr>
                <w:color w:val="auto"/>
              </w:rPr>
              <w:t xml:space="preserve">years) as defined by Scottish Government at </w:t>
            </w:r>
            <w:hyperlink r:id="rId11" w:history="1">
              <w:r w:rsidRPr="002070A6">
                <w:rPr>
                  <w:rStyle w:val="Hyperlink"/>
                </w:rPr>
                <w:t>https://www.gov.scot/publications/covid-shielding/pages/highest-risk-classification/</w:t>
              </w:r>
            </w:hyperlink>
          </w:p>
          <w:p w14:paraId="74559A85" w14:textId="77777777" w:rsidR="00792DFF" w:rsidRPr="00B30299" w:rsidRDefault="00792DFF" w:rsidP="00792DFF">
            <w:pPr>
              <w:pStyle w:val="TableBody"/>
              <w:numPr>
                <w:ilvl w:val="0"/>
                <w:numId w:val="22"/>
              </w:numPr>
              <w:rPr>
                <w:color w:val="auto"/>
              </w:rPr>
            </w:pPr>
            <w:r w:rsidRPr="00B30299">
              <w:rPr>
                <w:color w:val="auto"/>
              </w:rPr>
              <w:t>All those 65 years of age and over</w:t>
            </w:r>
          </w:p>
          <w:p w14:paraId="1315D715" w14:textId="5FD0C291" w:rsidR="00792DFF" w:rsidRPr="00B30299" w:rsidRDefault="00792DFF" w:rsidP="00792DFF">
            <w:pPr>
              <w:pStyle w:val="TableBody"/>
              <w:numPr>
                <w:ilvl w:val="0"/>
                <w:numId w:val="22"/>
              </w:numPr>
              <w:rPr>
                <w:color w:val="auto"/>
              </w:rPr>
            </w:pPr>
            <w:r w:rsidRPr="00B30299">
              <w:rPr>
                <w:color w:val="auto"/>
              </w:rPr>
              <w:t xml:space="preserve">Individuals aged </w:t>
            </w:r>
            <w:r w:rsidRPr="00284C23">
              <w:rPr>
                <w:color w:val="auto"/>
              </w:rPr>
              <w:t>1</w:t>
            </w:r>
            <w:r w:rsidR="0016110E" w:rsidRPr="00284C23">
              <w:rPr>
                <w:color w:val="auto"/>
              </w:rPr>
              <w:t>8</w:t>
            </w:r>
            <w:r w:rsidR="005D5EFB">
              <w:rPr>
                <w:color w:val="auto"/>
              </w:rPr>
              <w:t xml:space="preserve"> y</w:t>
            </w:r>
            <w:r w:rsidRPr="00B30299">
              <w:rPr>
                <w:color w:val="auto"/>
              </w:rPr>
              <w:t>ears to 64 years with underlying health conditions which puts them at higher risk of serious disease and mortality included in Table 3 COVID-19 –SARS-Cov-2 chapter 14a of Green Book</w:t>
            </w:r>
            <w:r w:rsidR="0016110E">
              <w:rPr>
                <w:color w:val="auto"/>
              </w:rPr>
              <w:t>*</w:t>
            </w:r>
          </w:p>
          <w:p w14:paraId="47E90749" w14:textId="77777777" w:rsidR="00792DFF" w:rsidRPr="00B30299" w:rsidRDefault="00792DFF" w:rsidP="00792DFF">
            <w:pPr>
              <w:pStyle w:val="TableBody"/>
              <w:numPr>
                <w:ilvl w:val="0"/>
                <w:numId w:val="22"/>
              </w:numPr>
              <w:rPr>
                <w:color w:val="auto"/>
              </w:rPr>
            </w:pPr>
            <w:r w:rsidRPr="00B30299">
              <w:rPr>
                <w:color w:val="auto"/>
              </w:rPr>
              <w:t>All those 60 years of age and over</w:t>
            </w:r>
          </w:p>
          <w:p w14:paraId="51C9605F" w14:textId="77777777" w:rsidR="00792DFF" w:rsidRPr="00B30299" w:rsidRDefault="00792DFF" w:rsidP="00792DFF">
            <w:pPr>
              <w:pStyle w:val="TableBody"/>
              <w:numPr>
                <w:ilvl w:val="0"/>
                <w:numId w:val="22"/>
              </w:numPr>
              <w:rPr>
                <w:color w:val="auto"/>
              </w:rPr>
            </w:pPr>
            <w:r w:rsidRPr="00B30299">
              <w:rPr>
                <w:color w:val="auto"/>
              </w:rPr>
              <w:t>All those 55 years of age and over</w:t>
            </w:r>
          </w:p>
          <w:p w14:paraId="35830915" w14:textId="77777777" w:rsidR="00792DFF" w:rsidRPr="00B30299" w:rsidRDefault="00792DFF" w:rsidP="00792DFF">
            <w:pPr>
              <w:pStyle w:val="TableBody"/>
              <w:numPr>
                <w:ilvl w:val="0"/>
                <w:numId w:val="22"/>
              </w:numPr>
              <w:rPr>
                <w:color w:val="auto"/>
              </w:rPr>
            </w:pPr>
            <w:r w:rsidRPr="00B30299">
              <w:rPr>
                <w:color w:val="auto"/>
              </w:rPr>
              <w:t>All those 50 years of age and over</w:t>
            </w:r>
          </w:p>
          <w:p w14:paraId="7F004C08" w14:textId="28DA2F3C" w:rsidR="00792DFF" w:rsidRDefault="00792DFF" w:rsidP="00792DFF">
            <w:pPr>
              <w:pStyle w:val="TableBody"/>
              <w:numPr>
                <w:ilvl w:val="0"/>
                <w:numId w:val="22"/>
              </w:numPr>
              <w:rPr>
                <w:color w:val="auto"/>
              </w:rPr>
            </w:pPr>
            <w:r w:rsidRPr="00B30299">
              <w:rPr>
                <w:color w:val="auto"/>
              </w:rPr>
              <w:lastRenderedPageBreak/>
              <w:t>Further guidance for those under age 50 years not included in the above groups will follow in phase 2.</w:t>
            </w:r>
          </w:p>
          <w:p w14:paraId="5552CBB1" w14:textId="5ED4D685" w:rsidR="005D5EFB" w:rsidRPr="00B30299" w:rsidRDefault="007624CA" w:rsidP="005D5EFB">
            <w:pPr>
              <w:pStyle w:val="TableBody"/>
              <w:rPr>
                <w:color w:val="auto"/>
              </w:rPr>
            </w:pPr>
            <w:r>
              <w:rPr>
                <w:color w:val="auto"/>
              </w:rPr>
              <w:t>*</w:t>
            </w:r>
            <w:r w:rsidR="005D5EFB" w:rsidRPr="00E37097">
              <w:rPr>
                <w:color w:val="auto"/>
              </w:rPr>
              <w:t>This also includes those who are in receipt of a carer’s allowance, or those who are the main carer of an elderly or disabled person whose welfare may be at risk if the carer falls ill.</w:t>
            </w:r>
          </w:p>
          <w:p w14:paraId="175A21C4" w14:textId="2EE6AE20" w:rsidR="0041222F" w:rsidRDefault="00792DFF" w:rsidP="00792DFF">
            <w:pPr>
              <w:pStyle w:val="TableBody"/>
            </w:pPr>
            <w:r w:rsidRPr="00B30299">
              <w:rPr>
                <w:color w:val="auto"/>
              </w:rPr>
              <w:t>The list above is not exhaustive, and clinician should apply clinical judgment to take into account the risk of COVID-19 exacerbating any underlying disease that a patient may have, as well as the risk of serious illness from COVID-19 itself. COVID-19 vaccine should be offered in such cases even if the individual is not in the clinical risk groups specified above, this may be provided under a Patient Specific Direction (PSD).</w:t>
            </w:r>
          </w:p>
        </w:tc>
      </w:tr>
      <w:tr w:rsidR="0041222F" w14:paraId="41CFC1DA" w14:textId="77777777" w:rsidTr="0041222F">
        <w:tblPrEx>
          <w:tblCellMar>
            <w:top w:w="0" w:type="dxa"/>
            <w:bottom w:w="0" w:type="dxa"/>
          </w:tblCellMar>
        </w:tblPrEx>
        <w:tc>
          <w:tcPr>
            <w:tcW w:w="2263" w:type="dxa"/>
          </w:tcPr>
          <w:p w14:paraId="63FE5316" w14:textId="77777777" w:rsidR="0041222F" w:rsidRPr="007C5E0C" w:rsidRDefault="0041222F" w:rsidP="0041222F">
            <w:pPr>
              <w:pStyle w:val="TableBody"/>
              <w:rPr>
                <w:b/>
              </w:rPr>
            </w:pPr>
            <w:r w:rsidRPr="007C5E0C">
              <w:rPr>
                <w:b/>
              </w:rPr>
              <w:lastRenderedPageBreak/>
              <w:t>Exclusion criteria</w:t>
            </w:r>
          </w:p>
          <w:p w14:paraId="37AF52B6" w14:textId="77777777" w:rsidR="0041222F" w:rsidRPr="007C5E0C" w:rsidRDefault="0041222F" w:rsidP="0041222F">
            <w:pPr>
              <w:pStyle w:val="TableBody"/>
              <w:rPr>
                <w:b/>
              </w:rPr>
            </w:pPr>
          </w:p>
        </w:tc>
        <w:tc>
          <w:tcPr>
            <w:tcW w:w="7931" w:type="dxa"/>
          </w:tcPr>
          <w:p w14:paraId="2882113C" w14:textId="77777777" w:rsidR="00792DFF" w:rsidRPr="00B30299" w:rsidRDefault="00792DFF" w:rsidP="00792DFF">
            <w:pPr>
              <w:pStyle w:val="Tablebullet1"/>
              <w:numPr>
                <w:ilvl w:val="0"/>
                <w:numId w:val="0"/>
              </w:numPr>
              <w:rPr>
                <w:color w:val="auto"/>
              </w:rPr>
            </w:pPr>
            <w:r w:rsidRPr="00B30299">
              <w:rPr>
                <w:color w:val="auto"/>
              </w:rPr>
              <w:t>The vaccine should not be given to:</w:t>
            </w:r>
          </w:p>
          <w:p w14:paraId="2EE7E9B9" w14:textId="4B780DFA" w:rsidR="00792DFF" w:rsidRPr="00B30299" w:rsidRDefault="00792DFF" w:rsidP="00792DFF">
            <w:pPr>
              <w:pStyle w:val="Tablebullet1"/>
              <w:numPr>
                <w:ilvl w:val="0"/>
                <w:numId w:val="22"/>
              </w:numPr>
              <w:rPr>
                <w:color w:val="auto"/>
              </w:rPr>
            </w:pPr>
            <w:r w:rsidRPr="00B30299">
              <w:rPr>
                <w:color w:val="auto"/>
              </w:rPr>
              <w:t xml:space="preserve">Those who have had a confirmed anaphylactic </w:t>
            </w:r>
            <w:r w:rsidR="009365E5">
              <w:rPr>
                <w:color w:val="auto"/>
              </w:rPr>
              <w:t>reaction to a previous dose of this</w:t>
            </w:r>
            <w:r w:rsidR="0016110E">
              <w:rPr>
                <w:color w:val="auto"/>
              </w:rPr>
              <w:t xml:space="preserve"> COVID-19 vaccine</w:t>
            </w:r>
          </w:p>
          <w:p w14:paraId="11FE2637" w14:textId="3749D7DB" w:rsidR="00792DFF" w:rsidRPr="00B30299" w:rsidRDefault="00792DFF" w:rsidP="00792DFF">
            <w:pPr>
              <w:pStyle w:val="Tablebullet1"/>
              <w:numPr>
                <w:ilvl w:val="0"/>
                <w:numId w:val="22"/>
              </w:numPr>
              <w:rPr>
                <w:color w:val="auto"/>
              </w:rPr>
            </w:pPr>
            <w:r w:rsidRPr="00B30299">
              <w:rPr>
                <w:color w:val="auto"/>
              </w:rPr>
              <w:t>Those who have had a confirmed anaphylactic r</w:t>
            </w:r>
            <w:r w:rsidR="009365E5">
              <w:rPr>
                <w:color w:val="auto"/>
              </w:rPr>
              <w:t>eaction to any components of this</w:t>
            </w:r>
            <w:r w:rsidRPr="00B30299">
              <w:rPr>
                <w:color w:val="auto"/>
              </w:rPr>
              <w:t xml:space="preserve"> vaccine </w:t>
            </w:r>
          </w:p>
          <w:p w14:paraId="2D4CF852" w14:textId="77777777" w:rsidR="00792DFF" w:rsidRPr="00B30299" w:rsidRDefault="00792DFF" w:rsidP="00792DFF">
            <w:pPr>
              <w:pStyle w:val="Tablebullet1"/>
              <w:numPr>
                <w:ilvl w:val="0"/>
                <w:numId w:val="22"/>
              </w:numPr>
              <w:rPr>
                <w:color w:val="auto"/>
              </w:rPr>
            </w:pPr>
            <w:r w:rsidRPr="00B30299">
              <w:rPr>
                <w:color w:val="auto"/>
              </w:rPr>
              <w:t>Those in whom no valid consent has been received</w:t>
            </w:r>
          </w:p>
          <w:p w14:paraId="7CDF2393" w14:textId="1F04A9AC" w:rsidR="00792DFF" w:rsidRPr="00B30299" w:rsidRDefault="00792DFF" w:rsidP="00792DFF">
            <w:pPr>
              <w:pStyle w:val="Tablebullet1"/>
              <w:numPr>
                <w:ilvl w:val="0"/>
                <w:numId w:val="22"/>
              </w:numPr>
              <w:rPr>
                <w:color w:val="auto"/>
              </w:rPr>
            </w:pPr>
            <w:r w:rsidRPr="00B30299">
              <w:rPr>
                <w:color w:val="auto"/>
              </w:rPr>
              <w:t xml:space="preserve">Those who are under </w:t>
            </w:r>
            <w:r w:rsidRPr="00284C23">
              <w:rPr>
                <w:color w:val="auto"/>
              </w:rPr>
              <w:t>1</w:t>
            </w:r>
            <w:r w:rsidR="0016110E" w:rsidRPr="00284C23">
              <w:rPr>
                <w:color w:val="auto"/>
              </w:rPr>
              <w:t>8</w:t>
            </w:r>
            <w:r w:rsidRPr="00B30299">
              <w:rPr>
                <w:color w:val="auto"/>
              </w:rPr>
              <w:t xml:space="preserve"> years of age </w:t>
            </w:r>
          </w:p>
          <w:p w14:paraId="1764AAAD" w14:textId="77777777" w:rsidR="00792DFF" w:rsidRPr="00B30299" w:rsidRDefault="00792DFF" w:rsidP="00792DFF">
            <w:pPr>
              <w:pStyle w:val="Tablebullet1"/>
              <w:numPr>
                <w:ilvl w:val="0"/>
                <w:numId w:val="22"/>
              </w:numPr>
              <w:rPr>
                <w:color w:val="auto"/>
              </w:rPr>
            </w:pPr>
            <w:r w:rsidRPr="00B30299">
              <w:rPr>
                <w:color w:val="auto"/>
              </w:rPr>
              <w:t>Women who are known to be pregnant (routine questioning about last menstrual period and/or pregnancy testing is not required before offering the vaccine)</w:t>
            </w:r>
          </w:p>
          <w:p w14:paraId="0B50D04B" w14:textId="77777777" w:rsidR="00792DFF" w:rsidRPr="00B30299" w:rsidRDefault="00792DFF" w:rsidP="00792DFF">
            <w:pPr>
              <w:pStyle w:val="Tablebullet1"/>
              <w:numPr>
                <w:ilvl w:val="0"/>
                <w:numId w:val="22"/>
              </w:numPr>
              <w:rPr>
                <w:color w:val="auto"/>
              </w:rPr>
            </w:pPr>
            <w:r w:rsidRPr="00B30299">
              <w:rPr>
                <w:color w:val="auto"/>
              </w:rPr>
              <w:t xml:space="preserve">Those with confirmed COVID-19 infection to avoid confusing the differential diagnosis. As clinical deterioration can occur up to two weeks after infection, ideally vaccination should be deferred until around four </w:t>
            </w:r>
            <w:r w:rsidRPr="00B30299">
              <w:rPr>
                <w:color w:val="auto"/>
              </w:rPr>
              <w:lastRenderedPageBreak/>
              <w:t>weeks after onset of symptoms or from the first PCR positive specimen in those who are asymptomatic.</w:t>
            </w:r>
          </w:p>
          <w:p w14:paraId="365390C2" w14:textId="77777777" w:rsidR="00792DFF" w:rsidRPr="00B30299" w:rsidRDefault="00792DFF" w:rsidP="00792DFF">
            <w:pPr>
              <w:pStyle w:val="Tablebullet1"/>
              <w:numPr>
                <w:ilvl w:val="0"/>
                <w:numId w:val="22"/>
              </w:numPr>
              <w:rPr>
                <w:color w:val="auto"/>
              </w:rPr>
            </w:pPr>
            <w:r w:rsidRPr="00B30299">
              <w:rPr>
                <w:color w:val="auto"/>
              </w:rPr>
              <w:t>Those with evidence of current deterioration of COVID-19 symptoms, deferral of vaccination may be considered to avoid incorrect attribution of any change in the person’s underlying condition to the vaccine.</w:t>
            </w:r>
          </w:p>
          <w:p w14:paraId="3EE52F34" w14:textId="77777777" w:rsidR="00792DFF" w:rsidRPr="00B30299" w:rsidRDefault="00792DFF" w:rsidP="00792DFF">
            <w:pPr>
              <w:pStyle w:val="Tablebullet1"/>
              <w:numPr>
                <w:ilvl w:val="0"/>
                <w:numId w:val="22"/>
              </w:numPr>
              <w:rPr>
                <w:color w:val="auto"/>
              </w:rPr>
            </w:pPr>
            <w:r w:rsidRPr="00B30299">
              <w:rPr>
                <w:color w:val="auto"/>
              </w:rPr>
              <w:t xml:space="preserve">Those who are participating in a clinical trial of COVID-19 vaccines </w:t>
            </w:r>
          </w:p>
          <w:p w14:paraId="4E9F41B6" w14:textId="77777777" w:rsidR="00792DFF" w:rsidRPr="00B30299" w:rsidRDefault="00792DFF" w:rsidP="00792DFF">
            <w:pPr>
              <w:pStyle w:val="Tablebullet1"/>
              <w:numPr>
                <w:ilvl w:val="0"/>
                <w:numId w:val="22"/>
              </w:numPr>
              <w:rPr>
                <w:color w:val="auto"/>
              </w:rPr>
            </w:pPr>
            <w:r w:rsidRPr="00B30299">
              <w:rPr>
                <w:color w:val="auto"/>
              </w:rPr>
              <w:t>Those with acute febrile illness – consider postponing immunisation until individual has fully recovered.</w:t>
            </w:r>
          </w:p>
          <w:p w14:paraId="75BC367E" w14:textId="77777777" w:rsidR="0041222F" w:rsidRDefault="00792DFF" w:rsidP="00792DFF">
            <w:pPr>
              <w:pStyle w:val="Tablebullet1"/>
              <w:numPr>
                <w:ilvl w:val="0"/>
                <w:numId w:val="22"/>
              </w:numPr>
              <w:rPr>
                <w:color w:val="auto"/>
              </w:rPr>
            </w:pPr>
            <w:r w:rsidRPr="00B30299">
              <w:rPr>
                <w:color w:val="auto"/>
              </w:rPr>
              <w:t>Those with evolving neurological condition – consider postponing immunisation until individual has stabilised.</w:t>
            </w:r>
          </w:p>
          <w:p w14:paraId="5C04DE44" w14:textId="6BD50DF5" w:rsidR="00AA013D" w:rsidRPr="0016110E" w:rsidRDefault="00AA013D" w:rsidP="00AA013D">
            <w:pPr>
              <w:pStyle w:val="TableBody"/>
              <w:rPr>
                <w:dstrike/>
                <w:color w:val="auto"/>
              </w:rPr>
            </w:pPr>
          </w:p>
        </w:tc>
      </w:tr>
      <w:tr w:rsidR="0041222F" w14:paraId="6195A527" w14:textId="77777777" w:rsidTr="0041222F">
        <w:tblPrEx>
          <w:tblCellMar>
            <w:top w:w="0" w:type="dxa"/>
            <w:bottom w:w="0" w:type="dxa"/>
          </w:tblCellMar>
        </w:tblPrEx>
        <w:tc>
          <w:tcPr>
            <w:tcW w:w="2263" w:type="dxa"/>
          </w:tcPr>
          <w:p w14:paraId="4E6E6167" w14:textId="4BAFDE3D" w:rsidR="0041222F" w:rsidRPr="007C5E0C" w:rsidRDefault="0041222F" w:rsidP="0041222F">
            <w:pPr>
              <w:pStyle w:val="TableBody"/>
              <w:rPr>
                <w:b/>
              </w:rPr>
            </w:pPr>
            <w:r w:rsidRPr="007C5E0C">
              <w:rPr>
                <w:b/>
              </w:rPr>
              <w:lastRenderedPageBreak/>
              <w:t>Cautions/need for further advice/ circumstances when further advice should be sought from a doctor</w:t>
            </w:r>
          </w:p>
          <w:p w14:paraId="5A4C984B" w14:textId="77777777" w:rsidR="0041222F" w:rsidRDefault="0041222F" w:rsidP="0041222F">
            <w:pPr>
              <w:pStyle w:val="TableBody"/>
            </w:pPr>
          </w:p>
        </w:tc>
        <w:tc>
          <w:tcPr>
            <w:tcW w:w="7931" w:type="dxa"/>
          </w:tcPr>
          <w:p w14:paraId="7A9D2B0B" w14:textId="7462BBD1" w:rsidR="008B4C6E" w:rsidRDefault="008B4C6E" w:rsidP="008B4C6E">
            <w:pPr>
              <w:pStyle w:val="TableBody"/>
              <w:rPr>
                <w:color w:val="auto"/>
              </w:rPr>
            </w:pPr>
            <w:r w:rsidRPr="00B30299">
              <w:rPr>
                <w:color w:val="auto"/>
              </w:rPr>
              <w:t>The COVID-19 chapter of the Green Book advises that there are very few individuals who cannot receive COVID vaccine. Where there is doubt, rather</w:t>
            </w:r>
            <w:r w:rsidR="00B30299" w:rsidRPr="00B30299">
              <w:rPr>
                <w:color w:val="auto"/>
              </w:rPr>
              <w:t xml:space="preserve"> </w:t>
            </w:r>
            <w:r w:rsidRPr="00B30299">
              <w:rPr>
                <w:color w:val="auto"/>
              </w:rPr>
              <w:t>than withholding vaccination, appropriate advice should be sought from the relevant specialist, or from the local immunisation or health protection team.</w:t>
            </w:r>
          </w:p>
          <w:p w14:paraId="0ACC33CB" w14:textId="0279F655" w:rsidR="0016110E" w:rsidRPr="00B30299" w:rsidRDefault="0016110E" w:rsidP="008B4C6E">
            <w:pPr>
              <w:pStyle w:val="TableBody"/>
              <w:rPr>
                <w:color w:val="auto"/>
              </w:rPr>
            </w:pPr>
            <w:r w:rsidRPr="00284C23">
              <w:rPr>
                <w:rFonts w:cs="Frutiger 45 Light"/>
                <w:color w:val="000000"/>
                <w:sz w:val="23"/>
                <w:szCs w:val="23"/>
              </w:rPr>
              <w:t>The MHRA has advised that individuals with a history of anaphylaxis to food, an identified drug or vaccine, or an insect sting can receive any COVID-19 vaccine, as long as they are not known to be allergic to any component of the vaccine.</w:t>
            </w:r>
          </w:p>
          <w:p w14:paraId="7DA6B910" w14:textId="77777777" w:rsidR="008B4C6E" w:rsidRPr="00B30299" w:rsidRDefault="008B4C6E" w:rsidP="008B4C6E">
            <w:pPr>
              <w:pStyle w:val="TableBody"/>
              <w:rPr>
                <w:color w:val="auto"/>
              </w:rPr>
            </w:pPr>
            <w:r w:rsidRPr="00B30299">
              <w:rPr>
                <w:color w:val="auto"/>
              </w:rPr>
              <w:t xml:space="preserve">Individuals with a bleeding disorder may develop a haematoma at the injection site (see Route of Administration).  </w:t>
            </w:r>
          </w:p>
          <w:p w14:paraId="55EBFAF3" w14:textId="79D269E4" w:rsidR="008B4C6E" w:rsidRPr="00B30299" w:rsidRDefault="008B4C6E" w:rsidP="008B4C6E">
            <w:pPr>
              <w:pStyle w:val="TableBody"/>
              <w:rPr>
                <w:color w:val="auto"/>
              </w:rPr>
            </w:pPr>
            <w:r w:rsidRPr="00B30299">
              <w:rPr>
                <w:color w:val="auto"/>
              </w:rPr>
              <w:t xml:space="preserve">Because of the absence of data on co-administration with COVID-19 vaccines, it should not be routine to offer appointments to give this vaccine at the same time as other vaccines. Based on current information about the first COVID-19 </w:t>
            </w:r>
            <w:r w:rsidRPr="00B30299">
              <w:rPr>
                <w:color w:val="auto"/>
              </w:rPr>
              <w:lastRenderedPageBreak/>
              <w:t>vaccines being deployed,</w:t>
            </w:r>
            <w:r w:rsidR="00B30299" w:rsidRPr="00B30299">
              <w:rPr>
                <w:color w:val="auto"/>
              </w:rPr>
              <w:t xml:space="preserve"> </w:t>
            </w:r>
            <w:r w:rsidRPr="00B30299">
              <w:rPr>
                <w:color w:val="auto"/>
              </w:rPr>
              <w:t>scheduling should ideally be separated by an interval of at least 7 days to avoid incorrect attribution of potential adverse events.</w:t>
            </w:r>
          </w:p>
          <w:p w14:paraId="01A2FAA9" w14:textId="6C673EC9" w:rsidR="008B4C6E" w:rsidRPr="00B30299" w:rsidRDefault="008B4C6E" w:rsidP="008B4C6E">
            <w:pPr>
              <w:pStyle w:val="TableBody"/>
              <w:rPr>
                <w:color w:val="auto"/>
              </w:rPr>
            </w:pPr>
            <w:r w:rsidRPr="00B30299">
              <w:rPr>
                <w:color w:val="auto"/>
              </w:rPr>
              <w:t xml:space="preserve">As </w:t>
            </w:r>
            <w:r w:rsidR="00DE5B0A">
              <w:t xml:space="preserve">AstraZeneca COVID-19 Vaccine (ChAdOx1-S [Recombinant]) </w:t>
            </w:r>
            <w:r w:rsidRPr="00B30299">
              <w:rPr>
                <w:color w:val="auto"/>
              </w:rPr>
              <w:t>is considered inactivated, where individuals in an eligible cohort present having received another inactivated or live vaccine, COVID-19 vaccination should still be considered. The same applies for other live and inactivated vaccines where COVID-19 vaccination has been received first. In many cases, vaccination should proceed to avoid any further delay in protection and to avoid the risk of the patient not returning for a later appointment. In such circumstances, patients should be informed about the likely timing of potential adverse events relating to each vaccine.</w:t>
            </w:r>
          </w:p>
          <w:p w14:paraId="56FA9920" w14:textId="77777777" w:rsidR="0041222F" w:rsidRDefault="008B4C6E" w:rsidP="007C5E0C">
            <w:pPr>
              <w:pStyle w:val="TableBody"/>
              <w:rPr>
                <w:color w:val="auto"/>
              </w:rPr>
            </w:pPr>
            <w:r w:rsidRPr="00B30299">
              <w:rPr>
                <w:color w:val="auto"/>
              </w:rPr>
              <w:t>Syncope (fainting) 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22B68251" w14:textId="70197910" w:rsidR="000A232E" w:rsidRPr="00E37097" w:rsidRDefault="005D4511" w:rsidP="000A232E">
            <w:pPr>
              <w:pStyle w:val="TableBody"/>
              <w:rPr>
                <w:color w:val="auto"/>
              </w:rPr>
            </w:pPr>
            <w:r w:rsidRPr="00E37097">
              <w:rPr>
                <w:color w:val="auto"/>
              </w:rPr>
              <w:t>JCVI advise t</w:t>
            </w:r>
            <w:r w:rsidR="000A232E" w:rsidRPr="00E37097">
              <w:rPr>
                <w:color w:val="auto"/>
              </w:rPr>
              <w:t xml:space="preserve">here is no known risk associated with giving </w:t>
            </w:r>
            <w:r w:rsidR="003A3A70" w:rsidRPr="00E37097">
              <w:rPr>
                <w:color w:val="auto"/>
              </w:rPr>
              <w:t xml:space="preserve">these types </w:t>
            </w:r>
            <w:r w:rsidR="00E37097" w:rsidRPr="00E37097">
              <w:rPr>
                <w:color w:val="auto"/>
              </w:rPr>
              <w:t>of vaccines</w:t>
            </w:r>
            <w:r w:rsidR="000A232E" w:rsidRPr="00E37097">
              <w:rPr>
                <w:color w:val="auto"/>
              </w:rPr>
              <w:t xml:space="preserve"> during pregnancy. These vaccines cannot replicate, so they cannot cause infection in either the woman or the unborn child.</w:t>
            </w:r>
          </w:p>
          <w:p w14:paraId="4EB22535" w14:textId="77777777" w:rsidR="000A232E" w:rsidRPr="000A232E" w:rsidRDefault="000A232E" w:rsidP="000A232E">
            <w:pPr>
              <w:pStyle w:val="TableBody"/>
              <w:rPr>
                <w:color w:val="auto"/>
              </w:rPr>
            </w:pPr>
            <w:r w:rsidRPr="00E37097">
              <w:rPr>
                <w:color w:val="auto"/>
              </w:rPr>
              <w:t>Although the available data do not indicate any safety concern or harm to pregnancy, there is insufficient evidence to recommend routine use of COVID-19 vaccines during pregnancy.</w:t>
            </w:r>
          </w:p>
          <w:p w14:paraId="6FEBA944" w14:textId="77777777" w:rsidR="000A232E" w:rsidRPr="00E37097" w:rsidRDefault="000A232E" w:rsidP="000A232E">
            <w:pPr>
              <w:pStyle w:val="TableBody"/>
              <w:rPr>
                <w:color w:val="auto"/>
              </w:rPr>
            </w:pPr>
            <w:r w:rsidRPr="00E37097">
              <w:rPr>
                <w:color w:val="auto"/>
              </w:rPr>
              <w:t xml:space="preserve">JCVI advises that, for women who are offered vaccination with the Pfizer-BioNTech or AstraZeneca COVID-19 vaccines, vaccination in pregnancy should be considered where the risk of exposure to Severe Acute Respiratory Syndrome coronavirus 2 (SARS-CoV2) infection is high and cannot be avoided, or where the woman has underlying conditions that put them at very high risk of </w:t>
            </w:r>
            <w:r w:rsidRPr="00E37097">
              <w:rPr>
                <w:color w:val="auto"/>
              </w:rPr>
              <w:lastRenderedPageBreak/>
              <w:t>serious complications of COVID-19. In these circumstances, clinicians should discuss the risks and benefits of vaccination with the woman, who should be told about the absence of safety data for the vaccine in pregnant women.</w:t>
            </w:r>
          </w:p>
          <w:p w14:paraId="6672B432" w14:textId="77777777" w:rsidR="000A232E" w:rsidRPr="00E37097" w:rsidRDefault="000A232E" w:rsidP="000A232E">
            <w:pPr>
              <w:pStyle w:val="TableBody"/>
              <w:rPr>
                <w:color w:val="auto"/>
              </w:rPr>
            </w:pPr>
            <w:r w:rsidRPr="00E37097">
              <w:rPr>
                <w:color w:val="auto"/>
              </w:rPr>
              <w:t>There is no known risk associated with giving non-live vaccines whilst breastfeeding. JCVI advises that breastfeeding women may be offered vaccination with the Pfizer-BioNTech or AstraZeneca COVID-19 vaccines.</w:t>
            </w:r>
          </w:p>
          <w:p w14:paraId="477B55C1" w14:textId="6015CB36" w:rsidR="0016110E" w:rsidRPr="00B30299" w:rsidRDefault="000A232E" w:rsidP="000A232E">
            <w:pPr>
              <w:pStyle w:val="TableBody"/>
              <w:rPr>
                <w:color w:val="auto"/>
              </w:rPr>
            </w:pPr>
            <w:r w:rsidRPr="00E37097">
              <w:rPr>
                <w:color w:val="auto"/>
              </w:rPr>
              <w:t>The developmental and health benefits of breastfeeding should be considered along with the woman’s clinical need for immunisation against COVID-19, and the woman should be informed about the absence of safety data for the vaccine in breastfeeding women.</w:t>
            </w:r>
          </w:p>
        </w:tc>
      </w:tr>
      <w:tr w:rsidR="0041222F" w14:paraId="647C997F" w14:textId="77777777" w:rsidTr="0041222F">
        <w:tblPrEx>
          <w:tblCellMar>
            <w:top w:w="0" w:type="dxa"/>
            <w:bottom w:w="0" w:type="dxa"/>
          </w:tblCellMar>
        </w:tblPrEx>
        <w:tc>
          <w:tcPr>
            <w:tcW w:w="2263" w:type="dxa"/>
          </w:tcPr>
          <w:p w14:paraId="7CC1CC4E" w14:textId="77777777" w:rsidR="00C23CE5" w:rsidRPr="007C5E0C" w:rsidRDefault="00C23CE5" w:rsidP="00C23CE5">
            <w:pPr>
              <w:pStyle w:val="TableBody"/>
              <w:rPr>
                <w:b/>
              </w:rPr>
            </w:pPr>
            <w:r w:rsidRPr="007C5E0C">
              <w:rPr>
                <w:b/>
              </w:rPr>
              <w:lastRenderedPageBreak/>
              <w:t>Action if excluded</w:t>
            </w:r>
          </w:p>
          <w:p w14:paraId="44EDB36B" w14:textId="77777777" w:rsidR="0041222F" w:rsidRPr="007C5E0C" w:rsidRDefault="0041222F" w:rsidP="0041222F">
            <w:pPr>
              <w:rPr>
                <w:b/>
              </w:rPr>
            </w:pPr>
          </w:p>
        </w:tc>
        <w:tc>
          <w:tcPr>
            <w:tcW w:w="7931" w:type="dxa"/>
          </w:tcPr>
          <w:p w14:paraId="0BCC2C35" w14:textId="77777777" w:rsidR="00B30299" w:rsidRPr="00B30299" w:rsidRDefault="00B30299" w:rsidP="00B30299">
            <w:pPr>
              <w:pStyle w:val="TableBody"/>
              <w:rPr>
                <w:color w:val="auto"/>
              </w:rPr>
            </w:pPr>
            <w:r w:rsidRPr="00B30299">
              <w:rPr>
                <w:color w:val="auto"/>
              </w:rPr>
              <w:t>Specialist advice should be sought on the vaccine and circumstances under which it could be given as vaccination using a patient specific direction may be indicated.</w:t>
            </w:r>
          </w:p>
          <w:p w14:paraId="581DFCD5" w14:textId="77777777" w:rsidR="00B30299" w:rsidRPr="00B30299" w:rsidRDefault="00B30299" w:rsidP="00B30299">
            <w:pPr>
              <w:pStyle w:val="TableBody"/>
              <w:rPr>
                <w:color w:val="auto"/>
              </w:rPr>
            </w:pPr>
            <w:r w:rsidRPr="00B30299">
              <w:rPr>
                <w:color w:val="auto"/>
              </w:rPr>
              <w:t>Individuals who are participating in a clinical trial of COVID-19 vaccines who present for vaccination should be referred back to the investigators.</w:t>
            </w:r>
          </w:p>
          <w:p w14:paraId="7A805139" w14:textId="77777777" w:rsidR="00B30299" w:rsidRPr="00B30299" w:rsidRDefault="00B30299" w:rsidP="00B30299">
            <w:pPr>
              <w:pStyle w:val="TableBody"/>
              <w:rPr>
                <w:color w:val="auto"/>
              </w:rPr>
            </w:pPr>
            <w:r w:rsidRPr="00B30299">
              <w:rPr>
                <w:color w:val="auto"/>
              </w:rPr>
              <w:t>In case of postponement due to acute illness or evolving neurological condition, advise when the individual can be vaccinated and ensure another appointment is arranged.</w:t>
            </w:r>
          </w:p>
          <w:p w14:paraId="7BEC2FE8" w14:textId="77777777" w:rsidR="00B30299" w:rsidRPr="00B30299" w:rsidRDefault="00B30299" w:rsidP="00B30299">
            <w:pPr>
              <w:pStyle w:val="TableBody"/>
              <w:rPr>
                <w:color w:val="auto"/>
              </w:rPr>
            </w:pPr>
            <w:r w:rsidRPr="00B30299">
              <w:rPr>
                <w:color w:val="auto"/>
              </w:rPr>
              <w:t>In case of postponement due to COVID-19 symptoms or positive COVID test in the last four weeks advise when the individual can be vaccinated and how future vaccination may be accessed.</w:t>
            </w:r>
          </w:p>
          <w:p w14:paraId="6E08D913" w14:textId="031BA522" w:rsidR="0041222F" w:rsidRDefault="00B30299" w:rsidP="00B30299">
            <w:pPr>
              <w:pStyle w:val="TableBody"/>
            </w:pPr>
            <w:r w:rsidRPr="00B30299">
              <w:rPr>
                <w:color w:val="auto"/>
              </w:rPr>
              <w:t>Document the reason for exclusion and any action taken in accordance with local procedures.</w:t>
            </w:r>
          </w:p>
        </w:tc>
      </w:tr>
      <w:tr w:rsidR="00C23CE5" w14:paraId="6937422B" w14:textId="77777777" w:rsidTr="0041222F">
        <w:tblPrEx>
          <w:tblCellMar>
            <w:top w:w="0" w:type="dxa"/>
            <w:bottom w:w="0" w:type="dxa"/>
          </w:tblCellMar>
        </w:tblPrEx>
        <w:tc>
          <w:tcPr>
            <w:tcW w:w="2263" w:type="dxa"/>
          </w:tcPr>
          <w:p w14:paraId="72380AEE" w14:textId="77777777" w:rsidR="00C23CE5" w:rsidRPr="007C5E0C" w:rsidRDefault="00C23CE5" w:rsidP="00C23CE5">
            <w:pPr>
              <w:pStyle w:val="TableBody"/>
              <w:rPr>
                <w:b/>
              </w:rPr>
            </w:pPr>
            <w:r w:rsidRPr="007C5E0C">
              <w:rPr>
                <w:b/>
              </w:rPr>
              <w:lastRenderedPageBreak/>
              <w:t>Action if patient declines</w:t>
            </w:r>
          </w:p>
          <w:p w14:paraId="201E4ED6" w14:textId="77777777" w:rsidR="00C23CE5" w:rsidRPr="007C5E0C" w:rsidRDefault="00C23CE5" w:rsidP="00C23CE5">
            <w:pPr>
              <w:pStyle w:val="TableBody"/>
              <w:rPr>
                <w:b/>
              </w:rPr>
            </w:pPr>
          </w:p>
        </w:tc>
        <w:tc>
          <w:tcPr>
            <w:tcW w:w="7931" w:type="dxa"/>
          </w:tcPr>
          <w:p w14:paraId="4A4DDFEE" w14:textId="77777777" w:rsidR="00B30299" w:rsidRPr="00B30299" w:rsidRDefault="00B30299" w:rsidP="00B30299">
            <w:pPr>
              <w:pStyle w:val="TableBody"/>
              <w:rPr>
                <w:color w:val="auto"/>
              </w:rPr>
            </w:pPr>
            <w:r w:rsidRPr="00B30299">
              <w:rPr>
                <w:color w:val="auto"/>
              </w:rPr>
              <w:t>Advise the individual/carer about the protective effects of the vaccine, the risks of infection and potential complications if not immunised.</w:t>
            </w:r>
          </w:p>
          <w:p w14:paraId="63233D25" w14:textId="77777777" w:rsidR="00B30299" w:rsidRPr="00B30299" w:rsidRDefault="00B30299" w:rsidP="00B30299">
            <w:pPr>
              <w:pStyle w:val="TableBody"/>
              <w:rPr>
                <w:color w:val="auto"/>
              </w:rPr>
            </w:pPr>
            <w:r w:rsidRPr="00B30299">
              <w:rPr>
                <w:color w:val="auto"/>
              </w:rPr>
              <w:t>Advise how future immunisation may be accessed if they subsequently decide to receive the COVID-19 vaccine</w:t>
            </w:r>
          </w:p>
          <w:p w14:paraId="45C31CDE" w14:textId="0D6084D3" w:rsidR="00C23CE5" w:rsidRPr="00B30299" w:rsidRDefault="00B30299" w:rsidP="00B30299">
            <w:pPr>
              <w:pStyle w:val="TableBody"/>
              <w:rPr>
                <w:color w:val="auto"/>
              </w:rPr>
            </w:pPr>
            <w:r w:rsidRPr="00B30299">
              <w:rPr>
                <w:color w:val="auto"/>
              </w:rPr>
              <w:t xml:space="preserve">Document patient’s declined consent and advice given.  </w:t>
            </w:r>
          </w:p>
        </w:tc>
      </w:tr>
    </w:tbl>
    <w:p w14:paraId="2A200A28" w14:textId="733DBF28" w:rsidR="00C23CE5" w:rsidRPr="00CC3F5E" w:rsidRDefault="00CC3F5E" w:rsidP="0012455B">
      <w:pPr>
        <w:pStyle w:val="Heading1"/>
      </w:pPr>
      <w:bookmarkStart w:id="13" w:name="_Toc57103226"/>
      <w:bookmarkStart w:id="14" w:name="_Toc57105453"/>
      <w:bookmarkStart w:id="15" w:name="_Toc60297526"/>
      <w:r w:rsidRPr="00CC3F5E">
        <w:t>Description of treatment</w:t>
      </w:r>
      <w:bookmarkEnd w:id="13"/>
      <w:bookmarkEnd w:id="14"/>
      <w:bookmarkEnd w:id="15"/>
    </w:p>
    <w:tbl>
      <w:tblPr>
        <w:tblStyle w:val="TableGrid"/>
        <w:tblW w:w="0" w:type="auto"/>
        <w:tblLook w:val="0620" w:firstRow="1" w:lastRow="0" w:firstColumn="0" w:lastColumn="0" w:noHBand="1" w:noVBand="1"/>
      </w:tblPr>
      <w:tblGrid>
        <w:gridCol w:w="2263"/>
        <w:gridCol w:w="7931"/>
      </w:tblGrid>
      <w:tr w:rsidR="00C23CE5" w14:paraId="1ADB07FB" w14:textId="77777777" w:rsidTr="00F32AFF">
        <w:trPr>
          <w:cnfStyle w:val="100000000000" w:firstRow="1" w:lastRow="0" w:firstColumn="0" w:lastColumn="0" w:oddVBand="0" w:evenVBand="0" w:oddHBand="0" w:evenHBand="0" w:firstRowFirstColumn="0" w:firstRowLastColumn="0" w:lastRowFirstColumn="0" w:lastRowLastColumn="0"/>
          <w:cantSplit/>
        </w:trPr>
        <w:tc>
          <w:tcPr>
            <w:tcW w:w="2263" w:type="dxa"/>
          </w:tcPr>
          <w:p w14:paraId="6E695BD9" w14:textId="79C54958" w:rsidR="00C23CE5" w:rsidRDefault="00C23CE5" w:rsidP="00C23CE5">
            <w:pPr>
              <w:pStyle w:val="TableHead"/>
            </w:pPr>
            <w:r>
              <w:t>Category</w:t>
            </w:r>
          </w:p>
        </w:tc>
        <w:tc>
          <w:tcPr>
            <w:tcW w:w="7931" w:type="dxa"/>
          </w:tcPr>
          <w:p w14:paraId="5AF59827" w14:textId="2F07DD55" w:rsidR="00C23CE5" w:rsidRDefault="00C23CE5" w:rsidP="00C23CE5">
            <w:pPr>
              <w:pStyle w:val="TableHead"/>
            </w:pPr>
            <w:r>
              <w:t>Description</w:t>
            </w:r>
          </w:p>
        </w:tc>
      </w:tr>
      <w:tr w:rsidR="00C23CE5" w14:paraId="0228AEC0" w14:textId="77777777" w:rsidTr="00F32AFF">
        <w:tblPrEx>
          <w:tblCellMar>
            <w:top w:w="0" w:type="dxa"/>
            <w:bottom w:w="0" w:type="dxa"/>
          </w:tblCellMar>
        </w:tblPrEx>
        <w:tc>
          <w:tcPr>
            <w:tcW w:w="2263" w:type="dxa"/>
          </w:tcPr>
          <w:p w14:paraId="5FCDECAB" w14:textId="672A2EE0" w:rsidR="00C23CE5" w:rsidRPr="007C5E0C" w:rsidRDefault="00C23CE5" w:rsidP="00C23CE5">
            <w:pPr>
              <w:pStyle w:val="TableBody"/>
              <w:rPr>
                <w:b/>
              </w:rPr>
            </w:pPr>
            <w:r w:rsidRPr="007C5E0C">
              <w:rPr>
                <w:b/>
              </w:rPr>
              <w:t>Name of medicine</w:t>
            </w:r>
          </w:p>
        </w:tc>
        <w:tc>
          <w:tcPr>
            <w:tcW w:w="7931" w:type="dxa"/>
          </w:tcPr>
          <w:p w14:paraId="031991BF" w14:textId="36FA1787" w:rsidR="00C23CE5" w:rsidRDefault="00DE5B0A" w:rsidP="00DF7194">
            <w:pPr>
              <w:pStyle w:val="TableBody"/>
              <w:rPr>
                <w:color w:val="auto"/>
              </w:rPr>
            </w:pPr>
            <w:r w:rsidRPr="00DE5B0A">
              <w:t>AstraZeneca COVID-19 Vaccine (ChAdOx1-S [Recombinant])</w:t>
            </w:r>
            <w:r w:rsidR="00DF7194">
              <w:rPr>
                <w:color w:val="auto"/>
              </w:rPr>
              <w:t>,</w:t>
            </w:r>
            <w:r w:rsidR="00BF624A" w:rsidRPr="00BF624A">
              <w:rPr>
                <w:color w:val="auto"/>
              </w:rPr>
              <w:t xml:space="preserve"> solution for injection</w:t>
            </w:r>
            <w:r w:rsidR="00DF7194">
              <w:rPr>
                <w:color w:val="auto"/>
              </w:rPr>
              <w:t xml:space="preserve"> in a multidose container</w:t>
            </w:r>
          </w:p>
          <w:p w14:paraId="79FD36B5" w14:textId="53211127" w:rsidR="00DF7194" w:rsidRPr="00BF624A" w:rsidRDefault="00DE5B0A" w:rsidP="00DF7194">
            <w:pPr>
              <w:pStyle w:val="TableBody"/>
              <w:rPr>
                <w:color w:val="auto"/>
              </w:rPr>
            </w:pPr>
            <w:r w:rsidRPr="00DE5B0A">
              <w:t>AstraZeneca COVID-19 Vaccine (ChAdOx1-S [Recombinant])</w:t>
            </w:r>
          </w:p>
        </w:tc>
      </w:tr>
      <w:tr w:rsidR="00C23CE5" w14:paraId="24CBD74E" w14:textId="77777777" w:rsidTr="00F32AFF">
        <w:tblPrEx>
          <w:tblCellMar>
            <w:top w:w="0" w:type="dxa"/>
            <w:bottom w:w="0" w:type="dxa"/>
          </w:tblCellMar>
        </w:tblPrEx>
        <w:tc>
          <w:tcPr>
            <w:tcW w:w="2263" w:type="dxa"/>
          </w:tcPr>
          <w:p w14:paraId="6DC4ABED" w14:textId="3E8CF53F" w:rsidR="00C23CE5" w:rsidRPr="007C5E0C" w:rsidRDefault="00C23CE5" w:rsidP="00C23CE5">
            <w:pPr>
              <w:pStyle w:val="TableBody"/>
              <w:rPr>
                <w:b/>
              </w:rPr>
            </w:pPr>
            <w:r w:rsidRPr="007C5E0C">
              <w:rPr>
                <w:b/>
              </w:rPr>
              <w:t>Form/strength</w:t>
            </w:r>
          </w:p>
        </w:tc>
        <w:tc>
          <w:tcPr>
            <w:tcW w:w="7931" w:type="dxa"/>
          </w:tcPr>
          <w:p w14:paraId="69CE0DBC" w14:textId="2468F509" w:rsidR="00DF7194" w:rsidRDefault="00DE5B0A" w:rsidP="00D62320">
            <w:pPr>
              <w:pStyle w:val="TableBody"/>
              <w:rPr>
                <w:bCs/>
                <w:iCs/>
                <w:color w:val="auto"/>
              </w:rPr>
            </w:pPr>
            <w:r>
              <w:t xml:space="preserve">AstraZeneca COVID-19 Vaccine (ChAdOx1-S [Recombinant]) </w:t>
            </w:r>
            <w:r w:rsidR="00D62320" w:rsidRPr="00D62320">
              <w:rPr>
                <w:bCs/>
                <w:iCs/>
                <w:color w:val="auto"/>
              </w:rPr>
              <w:t>solution for injection multidose vials containing</w:t>
            </w:r>
            <w:r w:rsidR="00DF7194">
              <w:rPr>
                <w:bCs/>
                <w:iCs/>
                <w:color w:val="auto"/>
              </w:rPr>
              <w:t>:</w:t>
            </w:r>
          </w:p>
          <w:p w14:paraId="104BB7A1" w14:textId="79EC75AC" w:rsidR="00DF7194" w:rsidRDefault="00DF7194" w:rsidP="00D62320">
            <w:pPr>
              <w:pStyle w:val="TableBody"/>
              <w:rPr>
                <w:bCs/>
                <w:iCs/>
                <w:color w:val="auto"/>
              </w:rPr>
            </w:pPr>
            <w:r>
              <w:rPr>
                <w:bCs/>
                <w:iCs/>
                <w:color w:val="auto"/>
              </w:rPr>
              <w:t>5ml of solution in a 10-dose vial; or</w:t>
            </w:r>
          </w:p>
          <w:p w14:paraId="2D049B70" w14:textId="02019617" w:rsidR="00C23CE5" w:rsidRPr="00D62320" w:rsidRDefault="00DF7194" w:rsidP="00D62320">
            <w:pPr>
              <w:pStyle w:val="TableBody"/>
              <w:rPr>
                <w:color w:val="auto"/>
              </w:rPr>
            </w:pPr>
            <w:r>
              <w:rPr>
                <w:bCs/>
                <w:iCs/>
                <w:color w:val="auto"/>
              </w:rPr>
              <w:t xml:space="preserve">4ml of solution in an 8-dose vial </w:t>
            </w:r>
          </w:p>
        </w:tc>
      </w:tr>
      <w:tr w:rsidR="00C23CE5" w14:paraId="46C9C445" w14:textId="77777777" w:rsidTr="00F32AFF">
        <w:tblPrEx>
          <w:tblCellMar>
            <w:top w:w="0" w:type="dxa"/>
            <w:bottom w:w="0" w:type="dxa"/>
          </w:tblCellMar>
        </w:tblPrEx>
        <w:tc>
          <w:tcPr>
            <w:tcW w:w="2263" w:type="dxa"/>
          </w:tcPr>
          <w:p w14:paraId="4529349B" w14:textId="701D4364" w:rsidR="00C23CE5" w:rsidRDefault="00C23CE5" w:rsidP="00C23CE5">
            <w:pPr>
              <w:pStyle w:val="TableBody"/>
            </w:pPr>
            <w:bookmarkStart w:id="16" w:name="_Toc57039419"/>
            <w:r w:rsidRPr="007C5E0C">
              <w:rPr>
                <w:b/>
              </w:rPr>
              <w:t>Route of</w:t>
            </w:r>
            <w:r w:rsidRPr="00B47942">
              <w:t xml:space="preserve"> </w:t>
            </w:r>
            <w:r w:rsidRPr="007C5E0C">
              <w:rPr>
                <w:b/>
              </w:rPr>
              <w:t>administration</w:t>
            </w:r>
            <w:bookmarkEnd w:id="16"/>
          </w:p>
          <w:p w14:paraId="3B0F86FB" w14:textId="77777777" w:rsidR="00C23CE5" w:rsidRDefault="00C23CE5" w:rsidP="00C23CE5">
            <w:pPr>
              <w:pStyle w:val="TableBody"/>
            </w:pPr>
          </w:p>
        </w:tc>
        <w:tc>
          <w:tcPr>
            <w:tcW w:w="7931" w:type="dxa"/>
          </w:tcPr>
          <w:p w14:paraId="67C8B6F6" w14:textId="4D11F075" w:rsidR="00BF624A" w:rsidRPr="00BF624A" w:rsidRDefault="00DE5B0A" w:rsidP="00BF624A">
            <w:pPr>
              <w:pStyle w:val="TableBody"/>
              <w:rPr>
                <w:color w:val="auto"/>
              </w:rPr>
            </w:pPr>
            <w:r>
              <w:t xml:space="preserve">AstraZeneca COVID-19 Vaccine (ChAdOx1-S [Recombinant]) </w:t>
            </w:r>
            <w:r w:rsidR="00BF624A" w:rsidRPr="00BF624A">
              <w:rPr>
                <w:color w:val="auto"/>
              </w:rPr>
              <w:t>must be administered by intramuscular (IM) injection</w:t>
            </w:r>
            <w:r w:rsidR="001C6D20">
              <w:rPr>
                <w:color w:val="auto"/>
              </w:rPr>
              <w:t xml:space="preserve"> preferably </w:t>
            </w:r>
            <w:r w:rsidR="00BF624A" w:rsidRPr="00BF624A">
              <w:rPr>
                <w:color w:val="auto"/>
              </w:rPr>
              <w:t>into the deltoid area of the upper arm.</w:t>
            </w:r>
            <w:r w:rsidR="000D2607">
              <w:t xml:space="preserve"> </w:t>
            </w:r>
            <w:r w:rsidR="000D2607" w:rsidRPr="000D2607">
              <w:rPr>
                <w:color w:val="auto"/>
              </w:rPr>
              <w:t>Where administration into the deltoid is not possible the anterolateral thigh can be considered.</w:t>
            </w:r>
          </w:p>
          <w:p w14:paraId="5DA832B3" w14:textId="77777777" w:rsidR="000512F0" w:rsidRDefault="00BF624A" w:rsidP="00BF624A">
            <w:pPr>
              <w:pStyle w:val="TableBody"/>
              <w:rPr>
                <w:color w:val="auto"/>
              </w:rPr>
            </w:pPr>
            <w:r w:rsidRPr="00BF624A">
              <w:rPr>
                <w:color w:val="auto"/>
              </w:rPr>
              <w:lastRenderedPageBreak/>
              <w:t>Inspect visually prior to administration and ensure appearance is consistent with the description in the manufacturer’s product literature or summary of product characteristics</w:t>
            </w:r>
            <w:r w:rsidR="000512F0">
              <w:rPr>
                <w:color w:val="auto"/>
              </w:rPr>
              <w:t>.</w:t>
            </w:r>
          </w:p>
          <w:p w14:paraId="77AC7A64" w14:textId="1852A11C" w:rsidR="00C23CE5" w:rsidRPr="00BF624A" w:rsidRDefault="00BF624A" w:rsidP="00BF624A">
            <w:pPr>
              <w:pStyle w:val="TableBody"/>
              <w:rPr>
                <w:color w:val="auto"/>
              </w:rPr>
            </w:pPr>
            <w:r w:rsidRPr="00BF624A">
              <w:rPr>
                <w:color w:val="auto"/>
              </w:rPr>
              <w:t>Individuals with bleeding disorders may be vaccinated intramuscularly if, in the opinion of a doctor familiar with individual’s bleeding risk, vaccines or similar small volume intramuscular injections can be administered with reasonable safety by this route. If the individual receives medication/ treatment to reduce bleeding, for example treatment for haemophilia, intramuscular vaccination can be scheduled shortly after such medication/treatment is administered. Individuals on stable anticoagulation therapy, including individuals on warfarin who are up-to-date with their scheduled INR testing and whose latest INR is below the upper level of the therapeutic range, can receive intramuscular vaccination. A fine needle (23 or 25 gauge) should be used for the vaccination, followed by firm pressure applied to the site without rubbing for at least 2 minutes. The individual/parent/carer should be informed about the risk of haematoma from the injection.</w:t>
            </w:r>
          </w:p>
          <w:p w14:paraId="5DBA1523" w14:textId="2EE040E5" w:rsidR="00BF624A" w:rsidRPr="00BF624A" w:rsidRDefault="00BF624A" w:rsidP="00BF624A">
            <w:pPr>
              <w:pStyle w:val="TableBody"/>
              <w:rPr>
                <w:color w:val="auto"/>
              </w:rPr>
            </w:pPr>
            <w:r w:rsidRPr="00BF624A">
              <w:rPr>
                <w:color w:val="auto"/>
              </w:rPr>
              <w:t xml:space="preserve">The site at which each vaccine was given should be noted in the individual’s records.  </w:t>
            </w:r>
          </w:p>
        </w:tc>
      </w:tr>
      <w:tr w:rsidR="00C23CE5" w14:paraId="40BF985F" w14:textId="77777777" w:rsidTr="00F32AFF">
        <w:tblPrEx>
          <w:tblCellMar>
            <w:top w:w="0" w:type="dxa"/>
            <w:bottom w:w="0" w:type="dxa"/>
          </w:tblCellMar>
        </w:tblPrEx>
        <w:tc>
          <w:tcPr>
            <w:tcW w:w="2263" w:type="dxa"/>
          </w:tcPr>
          <w:p w14:paraId="457B5BC4" w14:textId="04652ABA" w:rsidR="00C23CE5" w:rsidRPr="007C5E0C" w:rsidRDefault="00C23CE5" w:rsidP="00C23CE5">
            <w:pPr>
              <w:pStyle w:val="TableBody"/>
              <w:rPr>
                <w:b/>
              </w:rPr>
            </w:pPr>
            <w:bookmarkStart w:id="17" w:name="_Toc57039420"/>
            <w:r w:rsidRPr="007C5E0C">
              <w:rPr>
                <w:b/>
              </w:rPr>
              <w:lastRenderedPageBreak/>
              <w:t>Dosage</w:t>
            </w:r>
            <w:bookmarkEnd w:id="17"/>
          </w:p>
        </w:tc>
        <w:tc>
          <w:tcPr>
            <w:tcW w:w="7931" w:type="dxa"/>
          </w:tcPr>
          <w:p w14:paraId="287C39BC" w14:textId="12EB63AA" w:rsidR="00C23CE5" w:rsidRPr="00BF624A" w:rsidRDefault="00BF624A" w:rsidP="00D62320">
            <w:pPr>
              <w:pStyle w:val="TableBody"/>
              <w:rPr>
                <w:color w:val="auto"/>
              </w:rPr>
            </w:pPr>
            <w:r w:rsidRPr="00BF624A">
              <w:rPr>
                <w:color w:val="auto"/>
              </w:rPr>
              <w:t xml:space="preserve">The dose of </w:t>
            </w:r>
            <w:r w:rsidR="00DE5B0A">
              <w:t xml:space="preserve">AstraZeneca COVID-19 Vaccine (ChAdOx1-S [Recombinant]) </w:t>
            </w:r>
            <w:r w:rsidRPr="00BF624A">
              <w:rPr>
                <w:color w:val="auto"/>
              </w:rPr>
              <w:t>is 0.</w:t>
            </w:r>
            <w:r w:rsidR="00D62320">
              <w:rPr>
                <w:color w:val="auto"/>
              </w:rPr>
              <w:t>5mL</w:t>
            </w:r>
          </w:p>
        </w:tc>
      </w:tr>
      <w:tr w:rsidR="00C23CE5" w14:paraId="7950AD9E" w14:textId="77777777" w:rsidTr="00F32AFF">
        <w:tblPrEx>
          <w:tblCellMar>
            <w:top w:w="0" w:type="dxa"/>
            <w:bottom w:w="0" w:type="dxa"/>
          </w:tblCellMar>
        </w:tblPrEx>
        <w:tc>
          <w:tcPr>
            <w:tcW w:w="2263" w:type="dxa"/>
          </w:tcPr>
          <w:p w14:paraId="0C88A25C" w14:textId="2EDA4E76" w:rsidR="00C23CE5" w:rsidRPr="007C5E0C" w:rsidRDefault="00C23CE5" w:rsidP="00C23CE5">
            <w:pPr>
              <w:pStyle w:val="TableBody"/>
              <w:rPr>
                <w:b/>
              </w:rPr>
            </w:pPr>
            <w:r w:rsidRPr="007C5E0C">
              <w:rPr>
                <w:b/>
              </w:rPr>
              <w:t>Frequency</w:t>
            </w:r>
          </w:p>
        </w:tc>
        <w:tc>
          <w:tcPr>
            <w:tcW w:w="7931" w:type="dxa"/>
          </w:tcPr>
          <w:p w14:paraId="4A36A168" w14:textId="04626C07" w:rsidR="00F15EFA" w:rsidRDefault="00DE5B0A" w:rsidP="00F15EFA">
            <w:pPr>
              <w:pStyle w:val="TableBody"/>
              <w:rPr>
                <w:rFonts w:cs="Frutiger 45 Light"/>
                <w:color w:val="000000"/>
                <w:sz w:val="23"/>
                <w:szCs w:val="23"/>
              </w:rPr>
            </w:pPr>
            <w:r>
              <w:t xml:space="preserve">AstraZeneca COVID-19 Vaccine (ChAdOx1-S [Recombinant]) </w:t>
            </w:r>
            <w:r w:rsidR="001C6D20">
              <w:rPr>
                <w:bCs/>
                <w:iCs/>
                <w:color w:val="auto"/>
              </w:rPr>
              <w:t>course consists of tw</w:t>
            </w:r>
            <w:r w:rsidR="00F15EFA">
              <w:rPr>
                <w:bCs/>
                <w:iCs/>
                <w:color w:val="auto"/>
              </w:rPr>
              <w:t xml:space="preserve">o separate doses of 0.5ml each, </w:t>
            </w:r>
            <w:r w:rsidR="00F15EFA">
              <w:rPr>
                <w:rFonts w:cs="Frutiger 45 Light"/>
                <w:color w:val="000000"/>
                <w:sz w:val="23"/>
                <w:szCs w:val="23"/>
              </w:rPr>
              <w:t xml:space="preserve">a minimum of 28 days apart. </w:t>
            </w:r>
          </w:p>
          <w:p w14:paraId="4ED70948" w14:textId="71B50E11" w:rsidR="00E5143A" w:rsidRPr="00F15EFA" w:rsidRDefault="00E5143A" w:rsidP="00E5143A">
            <w:pPr>
              <w:pStyle w:val="TableBody"/>
              <w:rPr>
                <w:bCs/>
                <w:iCs/>
                <w:color w:val="auto"/>
              </w:rPr>
            </w:pPr>
            <w:r w:rsidRPr="00E5143A">
              <w:rPr>
                <w:bCs/>
                <w:iCs/>
                <w:color w:val="auto"/>
              </w:rPr>
              <w:t xml:space="preserve">Operationally, it is recommended </w:t>
            </w:r>
            <w:r>
              <w:rPr>
                <w:bCs/>
                <w:iCs/>
                <w:color w:val="auto"/>
              </w:rPr>
              <w:t xml:space="preserve">in the COVID-19 chapter of Green Book </w:t>
            </w:r>
            <w:r w:rsidRPr="00E5143A">
              <w:rPr>
                <w:bCs/>
                <w:iCs/>
                <w:color w:val="auto"/>
              </w:rPr>
              <w:t>that the second dose of bo</w:t>
            </w:r>
            <w:r>
              <w:rPr>
                <w:bCs/>
                <w:iCs/>
                <w:color w:val="auto"/>
              </w:rPr>
              <w:t xml:space="preserve">th vaccines should be routinely </w:t>
            </w:r>
            <w:r w:rsidRPr="00E5143A">
              <w:rPr>
                <w:bCs/>
                <w:iCs/>
                <w:color w:val="auto"/>
              </w:rPr>
              <w:t>scheduled between four and 12 weeks after the first dose.</w:t>
            </w:r>
            <w:r>
              <w:rPr>
                <w:bCs/>
                <w:iCs/>
                <w:color w:val="auto"/>
              </w:rPr>
              <w:t xml:space="preserve"> This will allow more people to </w:t>
            </w:r>
            <w:r w:rsidRPr="00E5143A">
              <w:rPr>
                <w:bCs/>
                <w:iCs/>
                <w:color w:val="auto"/>
              </w:rPr>
              <w:t xml:space="preserve">benefit from the </w:t>
            </w:r>
            <w:r w:rsidRPr="00E5143A">
              <w:rPr>
                <w:bCs/>
                <w:iCs/>
                <w:color w:val="auto"/>
              </w:rPr>
              <w:lastRenderedPageBreak/>
              <w:t>protection provided from the first dose du</w:t>
            </w:r>
            <w:r>
              <w:rPr>
                <w:bCs/>
                <w:iCs/>
                <w:color w:val="auto"/>
              </w:rPr>
              <w:t xml:space="preserve">ring the roll out phase. Longer </w:t>
            </w:r>
            <w:r w:rsidRPr="00E5143A">
              <w:rPr>
                <w:bCs/>
                <w:iCs/>
                <w:color w:val="auto"/>
              </w:rPr>
              <w:t>term protection will then be provided by the second dose.</w:t>
            </w:r>
          </w:p>
          <w:p w14:paraId="03520A0E" w14:textId="719559D3" w:rsidR="00D62320" w:rsidRDefault="00D62320" w:rsidP="00D62320">
            <w:pPr>
              <w:pStyle w:val="TableBody"/>
              <w:rPr>
                <w:color w:val="auto"/>
              </w:rPr>
            </w:pPr>
            <w:r w:rsidRPr="00D62320">
              <w:rPr>
                <w:color w:val="auto"/>
              </w:rPr>
              <w:t>If an interval longer than the recommended interval is left between doses, the second dose should still be given (preferably using the same vaccine as was given for the first dose if possible). The course does not need to be restarted.</w:t>
            </w:r>
          </w:p>
          <w:p w14:paraId="09A3DBA8" w14:textId="45E5B783" w:rsidR="000A232E" w:rsidRPr="00D62320" w:rsidRDefault="000A232E" w:rsidP="00D62320">
            <w:pPr>
              <w:pStyle w:val="TableBody"/>
              <w:rPr>
                <w:color w:val="auto"/>
              </w:rPr>
            </w:pPr>
            <w:r w:rsidRPr="00E37097">
              <w:rPr>
                <w:color w:val="auto"/>
              </w:rPr>
              <w:t>JCVI advises that the second vaccine dose should be with the same vaccine as for the first dose. Switching between vaccines or missing the second dose is not advised as this may affect the duration of protection.</w:t>
            </w:r>
          </w:p>
          <w:p w14:paraId="70C965BB" w14:textId="2129B1E9" w:rsidR="00C23CE5" w:rsidRPr="00D62320" w:rsidRDefault="00BF624A" w:rsidP="00BF624A">
            <w:pPr>
              <w:pStyle w:val="TableBody"/>
              <w:rPr>
                <w:color w:val="auto"/>
              </w:rPr>
            </w:pPr>
            <w:r w:rsidRPr="00D62320">
              <w:rPr>
                <w:color w:val="auto"/>
              </w:rPr>
              <w:t>There is no evidence on the interchangeability of the COVID-19 vaccines although studies are underway. Therefore, every effort should be made to determine which vaccine the individual received and to complete with the same vaccine. For individuals who started the schedule and who attend for vaccination at a site where the same vaccine is not available, or if the first product received is unknown, it is reasonable to offer a single dose of the locally available product. This option is preferred if the individual is likely to be at immediate high risk or is considered unlikely to attend again. In these circumstances, as both the vaccines are based on the spike protein, it is likely the second dose will help to boost the response to the first dose. For this reason, until additional information becomes available, further doses are not required.</w:t>
            </w:r>
          </w:p>
        </w:tc>
      </w:tr>
      <w:tr w:rsidR="00C23CE5" w14:paraId="67D65ADE" w14:textId="77777777" w:rsidTr="00F32AFF">
        <w:tblPrEx>
          <w:tblCellMar>
            <w:top w:w="0" w:type="dxa"/>
            <w:bottom w:w="0" w:type="dxa"/>
          </w:tblCellMar>
        </w:tblPrEx>
        <w:tc>
          <w:tcPr>
            <w:tcW w:w="2263" w:type="dxa"/>
          </w:tcPr>
          <w:p w14:paraId="40272640" w14:textId="5AEE74A1" w:rsidR="00C23CE5" w:rsidRPr="007C5E0C" w:rsidRDefault="00C23CE5" w:rsidP="00C23CE5">
            <w:pPr>
              <w:pStyle w:val="TableBody"/>
              <w:rPr>
                <w:b/>
              </w:rPr>
            </w:pPr>
            <w:bookmarkStart w:id="18" w:name="_Toc57039422"/>
            <w:r w:rsidRPr="007C5E0C">
              <w:rPr>
                <w:b/>
              </w:rPr>
              <w:lastRenderedPageBreak/>
              <w:t>Duration of treatment</w:t>
            </w:r>
            <w:bookmarkEnd w:id="18"/>
          </w:p>
        </w:tc>
        <w:tc>
          <w:tcPr>
            <w:tcW w:w="7931" w:type="dxa"/>
          </w:tcPr>
          <w:p w14:paraId="7B743929" w14:textId="77777777" w:rsidR="00BF624A" w:rsidRPr="00BF624A" w:rsidRDefault="00BF624A" w:rsidP="00BF624A">
            <w:pPr>
              <w:pStyle w:val="TableBody"/>
              <w:rPr>
                <w:color w:val="auto"/>
              </w:rPr>
            </w:pPr>
            <w:r w:rsidRPr="00BF624A">
              <w:rPr>
                <w:color w:val="auto"/>
              </w:rPr>
              <w:t xml:space="preserve">See Dose and frequency of administration above. </w:t>
            </w:r>
          </w:p>
          <w:p w14:paraId="38F34622" w14:textId="6A69FA44" w:rsidR="00C23CE5" w:rsidRPr="00BF624A" w:rsidRDefault="00BF624A" w:rsidP="00BF624A">
            <w:pPr>
              <w:pStyle w:val="TableBody"/>
              <w:rPr>
                <w:color w:val="auto"/>
              </w:rPr>
            </w:pPr>
            <w:r w:rsidRPr="00BF624A">
              <w:rPr>
                <w:color w:val="auto"/>
              </w:rPr>
              <w:t>Booster doses of COVID-19 vaccine are not yet recommended because the need for, and timing of, boosters has not yet been determined.</w:t>
            </w:r>
          </w:p>
        </w:tc>
      </w:tr>
      <w:tr w:rsidR="00C23CE5" w14:paraId="059F2436" w14:textId="77777777" w:rsidTr="00F32AFF">
        <w:tblPrEx>
          <w:tblCellMar>
            <w:top w:w="0" w:type="dxa"/>
            <w:bottom w:w="0" w:type="dxa"/>
          </w:tblCellMar>
        </w:tblPrEx>
        <w:tc>
          <w:tcPr>
            <w:tcW w:w="2263" w:type="dxa"/>
          </w:tcPr>
          <w:p w14:paraId="043AAB16" w14:textId="79A4AE77" w:rsidR="00C23CE5" w:rsidRPr="007C5E0C" w:rsidRDefault="00C23CE5" w:rsidP="00C23CE5">
            <w:pPr>
              <w:pStyle w:val="TableBody"/>
              <w:rPr>
                <w:b/>
              </w:rPr>
            </w:pPr>
            <w:bookmarkStart w:id="19" w:name="_Toc57039423"/>
            <w:r w:rsidRPr="007C5E0C">
              <w:rPr>
                <w:b/>
              </w:rPr>
              <w:t>Maximum or minimum treatment period</w:t>
            </w:r>
            <w:bookmarkEnd w:id="19"/>
          </w:p>
        </w:tc>
        <w:tc>
          <w:tcPr>
            <w:tcW w:w="7931" w:type="dxa"/>
          </w:tcPr>
          <w:p w14:paraId="59C214A7" w14:textId="1283229B" w:rsidR="00C23CE5" w:rsidRPr="00BF624A" w:rsidRDefault="00BF624A" w:rsidP="00C23CE5">
            <w:pPr>
              <w:pStyle w:val="TableBody"/>
              <w:rPr>
                <w:color w:val="auto"/>
              </w:rPr>
            </w:pPr>
            <w:r w:rsidRPr="00BF624A">
              <w:rPr>
                <w:color w:val="auto"/>
              </w:rPr>
              <w:t>See Frequency of administration above.</w:t>
            </w:r>
          </w:p>
        </w:tc>
      </w:tr>
      <w:tr w:rsidR="00C23CE5" w14:paraId="32BAB59E" w14:textId="77777777" w:rsidTr="00F32AFF">
        <w:tblPrEx>
          <w:tblCellMar>
            <w:top w:w="0" w:type="dxa"/>
            <w:bottom w:w="0" w:type="dxa"/>
          </w:tblCellMar>
        </w:tblPrEx>
        <w:tc>
          <w:tcPr>
            <w:tcW w:w="2263" w:type="dxa"/>
          </w:tcPr>
          <w:p w14:paraId="46CF2D90" w14:textId="54F5479E" w:rsidR="00C23CE5" w:rsidRPr="007C5E0C" w:rsidRDefault="00C23CE5" w:rsidP="00C23CE5">
            <w:pPr>
              <w:pStyle w:val="TableBody"/>
              <w:rPr>
                <w:b/>
              </w:rPr>
            </w:pPr>
            <w:bookmarkStart w:id="20" w:name="_Toc57039424"/>
            <w:r w:rsidRPr="007C5E0C">
              <w:rPr>
                <w:b/>
              </w:rPr>
              <w:lastRenderedPageBreak/>
              <w:t>Quantity to supply/administer</w:t>
            </w:r>
            <w:bookmarkEnd w:id="20"/>
          </w:p>
        </w:tc>
        <w:tc>
          <w:tcPr>
            <w:tcW w:w="7931" w:type="dxa"/>
          </w:tcPr>
          <w:p w14:paraId="1513C6B4" w14:textId="458E9AA1" w:rsidR="00C23CE5" w:rsidRPr="0007123F" w:rsidRDefault="0007123F" w:rsidP="00D62320">
            <w:pPr>
              <w:pStyle w:val="TableBody"/>
              <w:rPr>
                <w:color w:val="auto"/>
              </w:rPr>
            </w:pPr>
            <w:r w:rsidRPr="0007123F">
              <w:rPr>
                <w:color w:val="auto"/>
              </w:rPr>
              <w:t xml:space="preserve">Administer </w:t>
            </w:r>
            <w:r w:rsidR="00D62320">
              <w:rPr>
                <w:color w:val="auto"/>
              </w:rPr>
              <w:t>0.5</w:t>
            </w:r>
            <w:r w:rsidRPr="0007123F">
              <w:rPr>
                <w:color w:val="auto"/>
              </w:rPr>
              <w:t>mL per administration.</w:t>
            </w:r>
          </w:p>
        </w:tc>
      </w:tr>
      <w:tr w:rsidR="00C23CE5" w14:paraId="632F5CE9" w14:textId="77777777" w:rsidTr="00F32AFF">
        <w:tblPrEx>
          <w:tblCellMar>
            <w:top w:w="0" w:type="dxa"/>
            <w:bottom w:w="0" w:type="dxa"/>
          </w:tblCellMar>
        </w:tblPrEx>
        <w:tc>
          <w:tcPr>
            <w:tcW w:w="2263" w:type="dxa"/>
          </w:tcPr>
          <w:p w14:paraId="7A2B9B4F" w14:textId="7B701B14" w:rsidR="00C23CE5" w:rsidRPr="007C5E0C" w:rsidRDefault="00C23CE5" w:rsidP="00C23CE5">
            <w:pPr>
              <w:pStyle w:val="TableBody"/>
              <w:rPr>
                <w:b/>
              </w:rPr>
            </w:pPr>
            <w:bookmarkStart w:id="21" w:name="_Toc57039425"/>
            <w:r w:rsidRPr="007C5E0C">
              <w:rPr>
                <w:b/>
              </w:rPr>
              <w:t>▼ black triangle medicines</w:t>
            </w:r>
            <w:bookmarkEnd w:id="21"/>
          </w:p>
        </w:tc>
        <w:tc>
          <w:tcPr>
            <w:tcW w:w="7931" w:type="dxa"/>
          </w:tcPr>
          <w:p w14:paraId="7BF75187" w14:textId="618EBD89" w:rsidR="0007123F" w:rsidRPr="0007123F" w:rsidRDefault="00DE5B0A" w:rsidP="0007123F">
            <w:pPr>
              <w:pStyle w:val="TableBody"/>
              <w:rPr>
                <w:color w:val="auto"/>
              </w:rPr>
            </w:pPr>
            <w:r>
              <w:t xml:space="preserve">AstraZeneca COVID-19 Vaccine (ChAdOx1-S [Recombinant]) </w:t>
            </w:r>
            <w:r w:rsidR="0007123F" w:rsidRPr="0007123F">
              <w:rPr>
                <w:color w:val="auto"/>
              </w:rPr>
              <w:t xml:space="preserve">did not have a UK marketing authorisation at the time this PGD was written and is authorised for temporary supply in the UK in accordance with a Regulation 174 authorisation. </w:t>
            </w:r>
          </w:p>
          <w:p w14:paraId="75F2157D" w14:textId="1734FA55" w:rsidR="00C23CE5" w:rsidRDefault="0007123F" w:rsidP="00FF5439">
            <w:pPr>
              <w:pStyle w:val="TableBody"/>
            </w:pPr>
            <w:r w:rsidRPr="0007123F">
              <w:rPr>
                <w:color w:val="auto"/>
              </w:rPr>
              <w:t xml:space="preserve">All adverse reactions occurring in individuals of any age after vaccination should be reported to the </w:t>
            </w:r>
            <w:r w:rsidR="0033328C" w:rsidRPr="0033328C">
              <w:rPr>
                <w:color w:val="auto"/>
              </w:rPr>
              <w:t xml:space="preserve">Medicines &amp; Healthcare products Regulatory Agency </w:t>
            </w:r>
            <w:r w:rsidR="0033328C">
              <w:rPr>
                <w:color w:val="auto"/>
              </w:rPr>
              <w:t>(</w:t>
            </w:r>
            <w:r w:rsidRPr="0007123F">
              <w:rPr>
                <w:color w:val="auto"/>
              </w:rPr>
              <w:t>MHRA</w:t>
            </w:r>
            <w:r w:rsidR="0033328C">
              <w:rPr>
                <w:color w:val="auto"/>
              </w:rPr>
              <w:t>)</w:t>
            </w:r>
            <w:r w:rsidRPr="0007123F">
              <w:rPr>
                <w:color w:val="auto"/>
              </w:rPr>
              <w:t xml:space="preserve"> using the Coronavirus Yellow Card Scheme. Anyone can report a suspected adverse reaction to the MHRA using the Coronavirus Yellow Card reporting scheme </w:t>
            </w:r>
            <w:hyperlink r:id="rId12" w:history="1">
              <w:r w:rsidRPr="0007123F">
                <w:rPr>
                  <w:rStyle w:val="Hyperlink"/>
                </w:rPr>
                <w:t>https://coronavirus-yellowcard.mhra.gov.uk/</w:t>
              </w:r>
            </w:hyperlink>
          </w:p>
        </w:tc>
      </w:tr>
      <w:tr w:rsidR="00C23CE5" w14:paraId="6073D8EC" w14:textId="77777777" w:rsidTr="00F32AFF">
        <w:tblPrEx>
          <w:tblCellMar>
            <w:top w:w="0" w:type="dxa"/>
            <w:bottom w:w="0" w:type="dxa"/>
          </w:tblCellMar>
        </w:tblPrEx>
        <w:tc>
          <w:tcPr>
            <w:tcW w:w="2263" w:type="dxa"/>
          </w:tcPr>
          <w:p w14:paraId="6C8EC676" w14:textId="37264634" w:rsidR="00C23CE5" w:rsidRPr="007C5E0C" w:rsidRDefault="00C23CE5" w:rsidP="00C23CE5">
            <w:pPr>
              <w:pStyle w:val="TableBody"/>
              <w:rPr>
                <w:b/>
              </w:rPr>
            </w:pPr>
            <w:bookmarkStart w:id="22" w:name="_Toc57039426"/>
            <w:r w:rsidRPr="007C5E0C">
              <w:rPr>
                <w:b/>
              </w:rPr>
              <w:t>Legal category</w:t>
            </w:r>
            <w:bookmarkEnd w:id="22"/>
          </w:p>
        </w:tc>
        <w:tc>
          <w:tcPr>
            <w:tcW w:w="7931" w:type="dxa"/>
          </w:tcPr>
          <w:p w14:paraId="42ACAAE8" w14:textId="4E3A03DF" w:rsidR="0007123F" w:rsidRPr="0007123F" w:rsidRDefault="00DE5B0A" w:rsidP="0007123F">
            <w:pPr>
              <w:pStyle w:val="TableBody"/>
              <w:rPr>
                <w:color w:val="auto"/>
              </w:rPr>
            </w:pPr>
            <w:r>
              <w:t xml:space="preserve">AstraZeneca COVID-19 Vaccine (ChAdOx1-S [Recombinant]) </w:t>
            </w:r>
            <w:r w:rsidR="0007123F" w:rsidRPr="0007123F">
              <w:rPr>
                <w:color w:val="auto"/>
              </w:rPr>
              <w:t>is provided temporary authorisation</w:t>
            </w:r>
            <w:r w:rsidR="0033328C">
              <w:rPr>
                <w:color w:val="auto"/>
              </w:rPr>
              <w:t xml:space="preserve"> by the MHRA</w:t>
            </w:r>
            <w:r w:rsidR="0007123F" w:rsidRPr="0007123F">
              <w:rPr>
                <w:color w:val="auto"/>
              </w:rPr>
              <w:t xml:space="preserve"> for supply in the UK under regulation 174 and 174A, pending UK marketing authorisation.</w:t>
            </w:r>
          </w:p>
          <w:p w14:paraId="3C609654" w14:textId="332AD65C" w:rsidR="00C23CE5" w:rsidRDefault="0007123F" w:rsidP="0007123F">
            <w:pPr>
              <w:pStyle w:val="TableBody"/>
            </w:pPr>
            <w:r w:rsidRPr="0007123F">
              <w:rPr>
                <w:color w:val="auto"/>
              </w:rPr>
              <w:t>The regulation 174 authorised product is categorised as a prescription only medicine (POM).</w:t>
            </w:r>
          </w:p>
        </w:tc>
      </w:tr>
      <w:tr w:rsidR="00C23CE5" w14:paraId="57A81A91" w14:textId="77777777" w:rsidTr="00F32AFF">
        <w:tblPrEx>
          <w:tblCellMar>
            <w:top w:w="0" w:type="dxa"/>
            <w:bottom w:w="0" w:type="dxa"/>
          </w:tblCellMar>
        </w:tblPrEx>
        <w:tc>
          <w:tcPr>
            <w:tcW w:w="2263" w:type="dxa"/>
          </w:tcPr>
          <w:p w14:paraId="50FF820F" w14:textId="0CC7EF94" w:rsidR="00C23CE5" w:rsidRPr="007C5E0C" w:rsidRDefault="00C23CE5" w:rsidP="00C23CE5">
            <w:pPr>
              <w:pStyle w:val="TableBody"/>
              <w:rPr>
                <w:b/>
              </w:rPr>
            </w:pPr>
            <w:bookmarkStart w:id="23" w:name="_Toc57039427"/>
            <w:r w:rsidRPr="007C5E0C">
              <w:rPr>
                <w:b/>
              </w:rPr>
              <w:t>Is the use out with the SPC</w:t>
            </w:r>
            <w:bookmarkEnd w:id="23"/>
            <w:r w:rsidRPr="007C5E0C">
              <w:rPr>
                <w:b/>
              </w:rPr>
              <w:t>?</w:t>
            </w:r>
          </w:p>
          <w:p w14:paraId="6CDEB972" w14:textId="77777777" w:rsidR="00C23CE5" w:rsidRPr="007C5E0C" w:rsidRDefault="00C23CE5" w:rsidP="00C23CE5">
            <w:pPr>
              <w:pStyle w:val="TableBody"/>
              <w:rPr>
                <w:b/>
              </w:rPr>
            </w:pPr>
          </w:p>
        </w:tc>
        <w:tc>
          <w:tcPr>
            <w:tcW w:w="7931" w:type="dxa"/>
          </w:tcPr>
          <w:p w14:paraId="0B1AF14A" w14:textId="2D52A4F0" w:rsidR="0007123F" w:rsidRPr="0007123F" w:rsidRDefault="00DE5B0A" w:rsidP="0007123F">
            <w:pPr>
              <w:pStyle w:val="TableBody"/>
              <w:rPr>
                <w:color w:val="auto"/>
              </w:rPr>
            </w:pPr>
            <w:r>
              <w:t xml:space="preserve">AstraZeneca COVID-19 Vaccine (ChAdOx1-S [Recombinant]) </w:t>
            </w:r>
            <w:r w:rsidR="0007123F" w:rsidRPr="0007123F">
              <w:rPr>
                <w:color w:val="auto"/>
              </w:rPr>
              <w:t xml:space="preserve">is supplied in the UK in accordance with regulation 174 and did not have a UK marketing authorisation at the time of writing this PGD. </w:t>
            </w:r>
          </w:p>
          <w:p w14:paraId="377D2959" w14:textId="2F3D13CD" w:rsidR="00E60180" w:rsidRPr="00284C23" w:rsidRDefault="0007123F" w:rsidP="007C5E0C">
            <w:pPr>
              <w:pStyle w:val="TableBody"/>
              <w:rPr>
                <w:color w:val="auto"/>
              </w:rPr>
            </w:pPr>
            <w:r w:rsidRPr="0007123F">
              <w:rPr>
                <w:color w:val="auto"/>
              </w:rPr>
              <w:t>As part of the consent process, inform the individual/carer that this vaccine does not have a UK marketing authorisation but has been authorised for temporary supply in the UK by the MHRA and that it is being offered in accordance with national guidance.</w:t>
            </w:r>
          </w:p>
        </w:tc>
      </w:tr>
      <w:tr w:rsidR="00C23CE5" w14:paraId="7F441376" w14:textId="77777777" w:rsidTr="00F32AFF">
        <w:tblPrEx>
          <w:tblCellMar>
            <w:top w:w="0" w:type="dxa"/>
            <w:bottom w:w="0" w:type="dxa"/>
          </w:tblCellMar>
        </w:tblPrEx>
        <w:tc>
          <w:tcPr>
            <w:tcW w:w="2263" w:type="dxa"/>
          </w:tcPr>
          <w:p w14:paraId="2A4821B6" w14:textId="3C1BCD75" w:rsidR="00C23CE5" w:rsidRPr="007C5E0C" w:rsidRDefault="00C23CE5" w:rsidP="00C23CE5">
            <w:pPr>
              <w:pStyle w:val="TableBody"/>
              <w:rPr>
                <w:b/>
              </w:rPr>
            </w:pPr>
            <w:bookmarkStart w:id="24" w:name="_Toc57039428"/>
            <w:r w:rsidRPr="007C5E0C">
              <w:rPr>
                <w:b/>
              </w:rPr>
              <w:lastRenderedPageBreak/>
              <w:t>Storage requirements</w:t>
            </w:r>
            <w:bookmarkEnd w:id="24"/>
          </w:p>
          <w:p w14:paraId="37BB4D8D" w14:textId="77777777" w:rsidR="00C23CE5" w:rsidRPr="007C5E0C" w:rsidRDefault="00C23CE5" w:rsidP="00C23CE5">
            <w:pPr>
              <w:pStyle w:val="TableBody"/>
              <w:rPr>
                <w:b/>
              </w:rPr>
            </w:pPr>
          </w:p>
        </w:tc>
        <w:tc>
          <w:tcPr>
            <w:tcW w:w="7931" w:type="dxa"/>
          </w:tcPr>
          <w:p w14:paraId="36FBBF0D" w14:textId="646E5366" w:rsidR="00FF5439" w:rsidRDefault="00DE5B0A" w:rsidP="00FF5439">
            <w:pPr>
              <w:pStyle w:val="TableBody"/>
              <w:rPr>
                <w:color w:val="auto"/>
              </w:rPr>
            </w:pPr>
            <w:r>
              <w:t xml:space="preserve">AstraZeneca COVID-19 Vaccine (ChAdOx1-S [Recombinant]) </w:t>
            </w:r>
            <w:r w:rsidR="00FF5439" w:rsidRPr="00FF5439">
              <w:rPr>
                <w:color w:val="auto"/>
              </w:rPr>
              <w:t>must be stored in a fridge between +2 to +8°C in accordance with manufacturer’s advice.</w:t>
            </w:r>
          </w:p>
          <w:p w14:paraId="1269BFC3" w14:textId="5D411EB5" w:rsidR="008E1EC7" w:rsidRDefault="008E1EC7" w:rsidP="00FF5439">
            <w:pPr>
              <w:pStyle w:val="TableBody"/>
              <w:rPr>
                <w:color w:val="auto"/>
              </w:rPr>
            </w:pPr>
            <w:r>
              <w:rPr>
                <w:color w:val="auto"/>
              </w:rPr>
              <w:t>During storage it is r</w:t>
            </w:r>
            <w:r w:rsidRPr="008E1EC7">
              <w:rPr>
                <w:color w:val="auto"/>
              </w:rPr>
              <w:t xml:space="preserve">ecommended that the vials are stored in the </w:t>
            </w:r>
            <w:r>
              <w:rPr>
                <w:color w:val="auto"/>
              </w:rPr>
              <w:t>original packaging/</w:t>
            </w:r>
            <w:r w:rsidRPr="008E1EC7">
              <w:rPr>
                <w:color w:val="auto"/>
              </w:rPr>
              <w:t xml:space="preserve">cartons, away from direct sunlight to </w:t>
            </w:r>
            <w:r w:rsidR="00B024FF">
              <w:rPr>
                <w:color w:val="auto"/>
              </w:rPr>
              <w:t xml:space="preserve">protect from </w:t>
            </w:r>
            <w:r w:rsidRPr="008E1EC7">
              <w:rPr>
                <w:color w:val="auto"/>
              </w:rPr>
              <w:t>li</w:t>
            </w:r>
            <w:r w:rsidR="00B024FF">
              <w:rPr>
                <w:color w:val="auto"/>
              </w:rPr>
              <w:t xml:space="preserve">ght </w:t>
            </w:r>
            <w:r>
              <w:rPr>
                <w:color w:val="auto"/>
              </w:rPr>
              <w:t>and kept upright.</w:t>
            </w:r>
          </w:p>
          <w:p w14:paraId="59E7494D" w14:textId="77777777" w:rsidR="00FF5439" w:rsidRPr="00FF5439" w:rsidRDefault="00FF5439" w:rsidP="00FF5439">
            <w:pPr>
              <w:pStyle w:val="TableBody"/>
              <w:rPr>
                <w:color w:val="auto"/>
              </w:rPr>
            </w:pPr>
            <w:r w:rsidRPr="00FF5439">
              <w:rPr>
                <w:color w:val="auto"/>
              </w:rPr>
              <w:t>NHS Board guidance on Storage and Handling of vaccines should be observed.</w:t>
            </w:r>
          </w:p>
          <w:p w14:paraId="61C9B321" w14:textId="5B2083BD" w:rsidR="00FF5439" w:rsidRDefault="00FF5439" w:rsidP="00FF5439">
            <w:pPr>
              <w:pStyle w:val="TableBody"/>
              <w:rPr>
                <w:color w:val="auto"/>
              </w:rPr>
            </w:pPr>
            <w:r w:rsidRPr="00FF5439">
              <w:rPr>
                <w:color w:val="auto"/>
              </w:rPr>
              <w:t>In the event of an inadvertent or unavoidable deviation of these conditions, vaccine that has been stored outside the conditions stated above should be quarantined and risk assessed for suitability of continued use or appropriate disposal.</w:t>
            </w:r>
          </w:p>
          <w:p w14:paraId="096ACC92" w14:textId="7939B851" w:rsidR="00B024FF" w:rsidRPr="00FF5439" w:rsidRDefault="00B024FF" w:rsidP="00FF5439">
            <w:pPr>
              <w:pStyle w:val="TableBody"/>
              <w:rPr>
                <w:color w:val="auto"/>
              </w:rPr>
            </w:pPr>
            <w:r>
              <w:rPr>
                <w:color w:val="auto"/>
              </w:rPr>
              <w:t>After first use – use as soon as practically possible and within six hours. The vaccine may be stored between +2 and +25</w:t>
            </w:r>
            <w:r w:rsidRPr="00FF5439">
              <w:rPr>
                <w:color w:val="auto"/>
              </w:rPr>
              <w:t>°C</w:t>
            </w:r>
            <w:r>
              <w:rPr>
                <w:color w:val="auto"/>
              </w:rPr>
              <w:t xml:space="preserve"> during the in-use period in </w:t>
            </w:r>
            <w:r w:rsidRPr="00FF5439">
              <w:rPr>
                <w:color w:val="auto"/>
              </w:rPr>
              <w:t>accordance with manufacturer’s advice.</w:t>
            </w:r>
            <w:r w:rsidR="00CB27AF">
              <w:t xml:space="preserve"> </w:t>
            </w:r>
            <w:r w:rsidR="00CB27AF" w:rsidRPr="00E37097">
              <w:rPr>
                <w:color w:val="auto"/>
              </w:rPr>
              <w:t>The vaccine vial has space to write the date and time that the vial was first punctured; write this on the vial label.</w:t>
            </w:r>
          </w:p>
          <w:p w14:paraId="279AF8B6" w14:textId="192E3ACB" w:rsidR="0007123F" w:rsidRPr="00FF5439" w:rsidRDefault="00FF5439" w:rsidP="00FF5439">
            <w:pPr>
              <w:pStyle w:val="TableBody"/>
              <w:rPr>
                <w:color w:val="auto"/>
              </w:rPr>
            </w:pPr>
            <w:r w:rsidRPr="00FF5439">
              <w:rPr>
                <w:color w:val="auto"/>
              </w:rPr>
              <w:t>The manufacturer may advise of updated storage requirements and product stability as new data becomes available, vaccine may be stored in accordance with updated recommendations from the manufacturer.</w:t>
            </w:r>
          </w:p>
        </w:tc>
      </w:tr>
      <w:tr w:rsidR="00C23CE5" w14:paraId="5AE066C1" w14:textId="77777777" w:rsidTr="00F32AFF">
        <w:tblPrEx>
          <w:tblCellMar>
            <w:top w:w="0" w:type="dxa"/>
            <w:bottom w:w="0" w:type="dxa"/>
          </w:tblCellMar>
        </w:tblPrEx>
        <w:tc>
          <w:tcPr>
            <w:tcW w:w="2263" w:type="dxa"/>
          </w:tcPr>
          <w:p w14:paraId="13A05ADD" w14:textId="77F5E98D" w:rsidR="00C23CE5" w:rsidRPr="007C5E0C" w:rsidRDefault="00C23CE5" w:rsidP="00C23CE5">
            <w:pPr>
              <w:pStyle w:val="TableBody"/>
              <w:rPr>
                <w:b/>
              </w:rPr>
            </w:pPr>
            <w:bookmarkStart w:id="25" w:name="_Toc57039429"/>
            <w:r w:rsidRPr="007C5E0C">
              <w:rPr>
                <w:b/>
              </w:rPr>
              <w:t>Additional information</w:t>
            </w:r>
            <w:bookmarkEnd w:id="25"/>
          </w:p>
          <w:p w14:paraId="6D508421" w14:textId="77777777" w:rsidR="00C23CE5" w:rsidRPr="007C5E0C" w:rsidRDefault="00C23CE5" w:rsidP="00C23CE5">
            <w:pPr>
              <w:pStyle w:val="TableBody"/>
              <w:rPr>
                <w:b/>
              </w:rPr>
            </w:pPr>
          </w:p>
        </w:tc>
        <w:tc>
          <w:tcPr>
            <w:tcW w:w="7931" w:type="dxa"/>
          </w:tcPr>
          <w:p w14:paraId="09C48A5B" w14:textId="77777777" w:rsidR="0007123F" w:rsidRPr="0007123F" w:rsidRDefault="0007123F" w:rsidP="0007123F">
            <w:pPr>
              <w:pStyle w:val="TableBody"/>
              <w:rPr>
                <w:color w:val="auto"/>
              </w:rPr>
            </w:pPr>
            <w:r w:rsidRPr="0007123F">
              <w:rPr>
                <w:color w:val="auto"/>
              </w:rPr>
              <w:t>Minor illnesses without fever or systemic upset are not valid reasons to postpone immunisation. If an individual is acutely unwell, immunisation should be postponed until they have fully recovered.</w:t>
            </w:r>
          </w:p>
          <w:p w14:paraId="53FC8B31" w14:textId="3FEC10D9" w:rsidR="0007123F" w:rsidRPr="0007123F" w:rsidRDefault="0007123F" w:rsidP="0007123F">
            <w:pPr>
              <w:pStyle w:val="TableBody"/>
              <w:rPr>
                <w:color w:val="auto"/>
              </w:rPr>
            </w:pPr>
            <w:r w:rsidRPr="0007123F">
              <w:rPr>
                <w:color w:val="auto"/>
              </w:rPr>
              <w:t xml:space="preserve">There is no evidence of any safety concerns from vaccinating individuals with a past history of COVID-19 infection, or with detectable COVID-19 antibody. </w:t>
            </w:r>
          </w:p>
          <w:p w14:paraId="09C05438" w14:textId="77777777" w:rsidR="0007123F" w:rsidRPr="0007123F" w:rsidRDefault="0007123F" w:rsidP="0007123F">
            <w:pPr>
              <w:pStyle w:val="TableBody"/>
              <w:rPr>
                <w:color w:val="auto"/>
              </w:rPr>
            </w:pPr>
            <w:r w:rsidRPr="0007123F">
              <w:rPr>
                <w:color w:val="auto"/>
              </w:rPr>
              <w:t xml:space="preserve">Vaccination of individuals who may be infected but asymptomatic or incubating COVID-19 infection is unlikely to have a detrimental effect on the illness. </w:t>
            </w:r>
            <w:r w:rsidRPr="0007123F">
              <w:rPr>
                <w:color w:val="auto"/>
              </w:rPr>
              <w:lastRenderedPageBreak/>
              <w:t>Vaccination should be deferred in those with confirmed infection to avoid confusing the differential diagnosis. As clinical deterioration can occur up to two weeks after infection, ideally vaccination should be deferred until around four weeks after onset of symptoms or from the first PCR positive specimen in those who are asymptomatic.</w:t>
            </w:r>
          </w:p>
          <w:p w14:paraId="44E9DD6D" w14:textId="6603506C" w:rsidR="00C23CE5" w:rsidRPr="00D35B5F" w:rsidRDefault="0007123F" w:rsidP="0007123F">
            <w:pPr>
              <w:pStyle w:val="TableBody"/>
            </w:pPr>
            <w:r w:rsidRPr="0007123F">
              <w:rPr>
                <w:color w:val="auto"/>
              </w:rPr>
              <w:t>Having prolonged COVID-19 symptoms is not a contraindication to receiving COVID-19 vaccine but if the patient is seriously debilitated, still under active investigation, or has evidence of recent deterioration, deferral of vaccination may be considered to avoid incorrect attribution of any change in the person’s underlying condition to the vaccine.</w:t>
            </w:r>
          </w:p>
        </w:tc>
      </w:tr>
    </w:tbl>
    <w:p w14:paraId="43DFAB4E" w14:textId="77777777" w:rsidR="00161AD3" w:rsidRDefault="00161AD3" w:rsidP="00B47942">
      <w:pPr>
        <w:pStyle w:val="Heading1"/>
      </w:pPr>
      <w:bookmarkStart w:id="26" w:name="_Toc57105454"/>
      <w:bookmarkStart w:id="27" w:name="_Toc57039430"/>
    </w:p>
    <w:p w14:paraId="76BBB190" w14:textId="77777777" w:rsidR="00161AD3" w:rsidRPr="00161AD3" w:rsidRDefault="00161AD3" w:rsidP="00161AD3"/>
    <w:p w14:paraId="1931C124" w14:textId="5A6E658E" w:rsidR="00B47942" w:rsidRDefault="00C23CE5" w:rsidP="00B47942">
      <w:pPr>
        <w:pStyle w:val="Heading1"/>
      </w:pPr>
      <w:bookmarkStart w:id="28" w:name="_Toc60297527"/>
      <w:r>
        <w:t>Adverse reactions</w:t>
      </w:r>
      <w:bookmarkEnd w:id="26"/>
      <w:bookmarkEnd w:id="28"/>
    </w:p>
    <w:tbl>
      <w:tblPr>
        <w:tblStyle w:val="TableGrid"/>
        <w:tblW w:w="0" w:type="auto"/>
        <w:tblLook w:val="0620" w:firstRow="1" w:lastRow="0" w:firstColumn="0" w:lastColumn="0" w:noHBand="1" w:noVBand="1"/>
      </w:tblPr>
      <w:tblGrid>
        <w:gridCol w:w="2263"/>
        <w:gridCol w:w="7931"/>
      </w:tblGrid>
      <w:tr w:rsidR="00C23CE5" w14:paraId="0FE9B567" w14:textId="77777777" w:rsidTr="00F32AFF">
        <w:trPr>
          <w:cnfStyle w:val="100000000000" w:firstRow="1" w:lastRow="0" w:firstColumn="0" w:lastColumn="0" w:oddVBand="0" w:evenVBand="0" w:oddHBand="0" w:evenHBand="0" w:firstRowFirstColumn="0" w:firstRowLastColumn="0" w:lastRowFirstColumn="0" w:lastRowLastColumn="0"/>
          <w:cantSplit/>
        </w:trPr>
        <w:tc>
          <w:tcPr>
            <w:tcW w:w="2263" w:type="dxa"/>
          </w:tcPr>
          <w:p w14:paraId="2ACCF944" w14:textId="30431AD8" w:rsidR="00C23CE5" w:rsidRDefault="007C5E0C" w:rsidP="00C23CE5">
            <w:pPr>
              <w:pStyle w:val="TableHead"/>
            </w:pPr>
            <w:r>
              <w:t>Category</w:t>
            </w:r>
          </w:p>
        </w:tc>
        <w:tc>
          <w:tcPr>
            <w:tcW w:w="7931" w:type="dxa"/>
          </w:tcPr>
          <w:p w14:paraId="148365EB" w14:textId="262495E8" w:rsidR="00C23CE5" w:rsidRDefault="00C23CE5" w:rsidP="00C23CE5">
            <w:pPr>
              <w:pStyle w:val="TableHead"/>
            </w:pPr>
            <w:r>
              <w:t>Description</w:t>
            </w:r>
          </w:p>
        </w:tc>
      </w:tr>
      <w:tr w:rsidR="00C23CE5" w14:paraId="2C00A3FC" w14:textId="77777777" w:rsidTr="00F32AFF">
        <w:tblPrEx>
          <w:tblCellMar>
            <w:top w:w="0" w:type="dxa"/>
            <w:bottom w:w="0" w:type="dxa"/>
          </w:tblCellMar>
        </w:tblPrEx>
        <w:tc>
          <w:tcPr>
            <w:tcW w:w="2263" w:type="dxa"/>
          </w:tcPr>
          <w:p w14:paraId="13E0D968" w14:textId="4CF7D228" w:rsidR="00C23CE5" w:rsidRPr="007C5E0C" w:rsidRDefault="00C23CE5" w:rsidP="00C23CE5">
            <w:pPr>
              <w:pStyle w:val="TableBody"/>
              <w:rPr>
                <w:b/>
              </w:rPr>
            </w:pPr>
            <w:r w:rsidRPr="007C5E0C">
              <w:rPr>
                <w:b/>
              </w:rPr>
              <w:t>Warnings including possible adverse reactions and management of these</w:t>
            </w:r>
          </w:p>
        </w:tc>
        <w:tc>
          <w:tcPr>
            <w:tcW w:w="7931" w:type="dxa"/>
          </w:tcPr>
          <w:p w14:paraId="6A6655F2" w14:textId="2D9DFC55" w:rsidR="009A42BA" w:rsidRPr="009A42BA" w:rsidRDefault="009A42BA" w:rsidP="009A42BA">
            <w:pPr>
              <w:pStyle w:val="TableBody"/>
              <w:rPr>
                <w:color w:val="auto"/>
              </w:rPr>
            </w:pPr>
            <w:r w:rsidRPr="009A42BA">
              <w:rPr>
                <w:color w:val="auto"/>
              </w:rPr>
              <w:t xml:space="preserve">From early phase trials, mild pain and tenderness at the injection site was common with </w:t>
            </w:r>
            <w:r w:rsidR="00105DF5" w:rsidRPr="00B024FF">
              <w:t xml:space="preserve">COVID-19 Vaccine (ChAdOx1-S [recombinant]) AstraZeneca </w:t>
            </w:r>
            <w:r w:rsidRPr="009A42BA">
              <w:rPr>
                <w:color w:val="auto"/>
              </w:rPr>
              <w:t xml:space="preserve">occurring in 88% of 18-55 year olds, 73% of 56-69 year olds and 61% of people aged 70 years or over; similar levels were reported after each dose. Short lived systemic symptoms including fatigue and headache were also common but decreased with age, being reported in 86%, 77%, and 65% of those aged 18-55, </w:t>
            </w:r>
            <w:r w:rsidRPr="009A42BA">
              <w:rPr>
                <w:color w:val="auto"/>
              </w:rPr>
              <w:lastRenderedPageBreak/>
              <w:t>56-69 and 70 years or over respectively; most of these were classified as mild or moderate. These reactions were unusual after the second dose. Mild fever (&gt;38˚C) was recorded in the first 48 hours for around a quarter of younger participants but was not reported in those over 55 years of age or in any age group after the second dose. Fever can be modified by the prophylactic use of paracetamol, which does not affect the immune response to this vaccine.</w:t>
            </w:r>
          </w:p>
          <w:p w14:paraId="17AA9CD6" w14:textId="2DEB8405" w:rsidR="00C23CE5" w:rsidRPr="009A42BA" w:rsidRDefault="009A42BA" w:rsidP="00712992">
            <w:pPr>
              <w:pStyle w:val="TableBody"/>
              <w:rPr>
                <w:color w:val="auto"/>
              </w:rPr>
            </w:pPr>
            <w:r w:rsidRPr="009A42BA">
              <w:rPr>
                <w:color w:val="auto"/>
              </w:rPr>
              <w:t xml:space="preserve">A protocol for the management of anaphylaxis and an anaphylaxis pack must always be available whenever </w:t>
            </w:r>
            <w:r w:rsidR="00DE5B0A">
              <w:t xml:space="preserve">AstraZeneca COVID-19 Vaccine (ChAdOx1-S [Recombinant]) </w:t>
            </w:r>
            <w:r w:rsidRPr="009A42BA">
              <w:rPr>
                <w:color w:val="auto"/>
              </w:rPr>
              <w:t>is given. Immediate treatment should include early treatment with 0.5mg intramuscular adrenaline (0.5ml of 1:1000 or 1mg/ml adrenaline), with an early call for help and further IM adrenaline every 5 minutes. The health professionals overseeing the immunisation service must be trained to recognise an anaphylactic reaction and be familiar with techniques for resuscitation of a patient with anaphylaxis.</w:t>
            </w:r>
          </w:p>
          <w:p w14:paraId="074F6E4D" w14:textId="77777777" w:rsidR="009A42BA" w:rsidRPr="009A42BA" w:rsidRDefault="009A42BA" w:rsidP="009A42BA">
            <w:pPr>
              <w:pStyle w:val="TableBody"/>
              <w:rPr>
                <w:color w:val="auto"/>
              </w:rPr>
            </w:pPr>
            <w:r w:rsidRPr="009A42BA">
              <w:rPr>
                <w:color w:val="auto"/>
              </w:rPr>
              <w:t>In the event of a severe adverse reaction individual should be advised to seek medical advice.</w:t>
            </w:r>
          </w:p>
          <w:p w14:paraId="34012BF8" w14:textId="06C65E1A" w:rsidR="009A42BA" w:rsidRPr="009A42BA" w:rsidRDefault="009A42BA" w:rsidP="009A42BA">
            <w:pPr>
              <w:pStyle w:val="TableBody"/>
              <w:rPr>
                <w:color w:val="auto"/>
              </w:rPr>
            </w:pPr>
            <w:r w:rsidRPr="009A42BA">
              <w:rPr>
                <w:color w:val="auto"/>
              </w:rPr>
              <w:t>For full details/information on possible adverse reaction, refer to manufacturer’s product literature or summary of product characteristics.</w:t>
            </w:r>
          </w:p>
        </w:tc>
      </w:tr>
      <w:tr w:rsidR="00C23CE5" w14:paraId="5EA4851B" w14:textId="77777777" w:rsidTr="00F32AFF">
        <w:tblPrEx>
          <w:tblCellMar>
            <w:top w:w="0" w:type="dxa"/>
            <w:bottom w:w="0" w:type="dxa"/>
          </w:tblCellMar>
        </w:tblPrEx>
        <w:tc>
          <w:tcPr>
            <w:tcW w:w="2263" w:type="dxa"/>
          </w:tcPr>
          <w:p w14:paraId="6F3A9044" w14:textId="77777777" w:rsidR="00C23CE5" w:rsidRPr="007C5E0C" w:rsidRDefault="00C23CE5" w:rsidP="00C23CE5">
            <w:pPr>
              <w:pStyle w:val="TableBody"/>
              <w:rPr>
                <w:b/>
              </w:rPr>
            </w:pPr>
            <w:bookmarkStart w:id="29" w:name="_Toc57039431"/>
            <w:r w:rsidRPr="007C5E0C">
              <w:rPr>
                <w:b/>
              </w:rPr>
              <w:lastRenderedPageBreak/>
              <w:t>Reporting procedure for adverse reactions</w:t>
            </w:r>
            <w:bookmarkEnd w:id="29"/>
          </w:p>
          <w:p w14:paraId="2F9FBAB0" w14:textId="77777777" w:rsidR="00C23CE5" w:rsidRPr="007C5E0C" w:rsidRDefault="00C23CE5" w:rsidP="00C23CE5">
            <w:pPr>
              <w:pStyle w:val="TableBody"/>
              <w:rPr>
                <w:b/>
              </w:rPr>
            </w:pPr>
          </w:p>
        </w:tc>
        <w:tc>
          <w:tcPr>
            <w:tcW w:w="7931" w:type="dxa"/>
          </w:tcPr>
          <w:p w14:paraId="2327A04E" w14:textId="7A5281A9" w:rsidR="00712992" w:rsidRPr="00D66544" w:rsidRDefault="00712992" w:rsidP="00712992">
            <w:pPr>
              <w:pStyle w:val="TableBody"/>
              <w:rPr>
                <w:color w:val="auto"/>
              </w:rPr>
            </w:pPr>
            <w:r w:rsidRPr="009F0531">
              <w:rPr>
                <w:color w:val="auto"/>
              </w:rPr>
              <w:t>Healthcare professionals and individuals/carers should report suspected adverse reacti</w:t>
            </w:r>
            <w:r w:rsidR="00184D66">
              <w:rPr>
                <w:color w:val="auto"/>
              </w:rPr>
              <w:t>ons to the MHRA</w:t>
            </w:r>
            <w:r w:rsidRPr="009F0531">
              <w:rPr>
                <w:color w:val="auto"/>
              </w:rPr>
              <w:t xml:space="preserve"> using the Coronavirus Yellow Card reporting scheme on:</w:t>
            </w:r>
            <w:r w:rsidR="009A42BA">
              <w:rPr>
                <w:color w:val="auto"/>
              </w:rPr>
              <w:t xml:space="preserve"> </w:t>
            </w:r>
            <w:hyperlink r:id="rId13" w:history="1">
              <w:r w:rsidRPr="00712992">
                <w:rPr>
                  <w:rStyle w:val="Hyperlink"/>
                </w:rPr>
                <w:t>https://coronavirus-yellowcard.mhra.gov.uk/</w:t>
              </w:r>
            </w:hyperlink>
          </w:p>
          <w:p w14:paraId="51B67D87" w14:textId="77777777" w:rsidR="00712992" w:rsidRPr="00712992" w:rsidRDefault="00712992" w:rsidP="00712992">
            <w:pPr>
              <w:pStyle w:val="TableBody"/>
            </w:pPr>
            <w:r w:rsidRPr="009F0531">
              <w:rPr>
                <w:color w:val="auto"/>
              </w:rPr>
              <w:t xml:space="preserve">As this vaccine is labelled with a black triangle, all adverse reactions occurring in individuals of any age after vaccination should be reported to the MHRA using the Coronavirus Yellow Card Scheme. Anyone can report a suspected adverse reaction to the MHRA using the Coronavirus Yellow Card reporting scheme </w:t>
            </w:r>
            <w:hyperlink r:id="rId14" w:history="1">
              <w:r w:rsidRPr="00712992">
                <w:rPr>
                  <w:rStyle w:val="Hyperlink"/>
                </w:rPr>
                <w:t>https://coronavirus-yellowcard.mhra.gov.uk/</w:t>
              </w:r>
            </w:hyperlink>
          </w:p>
          <w:p w14:paraId="07E3D470" w14:textId="77777777" w:rsidR="00712992" w:rsidRPr="009F0531" w:rsidRDefault="00712992" w:rsidP="00712992">
            <w:pPr>
              <w:pStyle w:val="TableBody"/>
              <w:rPr>
                <w:color w:val="auto"/>
              </w:rPr>
            </w:pPr>
            <w:r w:rsidRPr="009F0531">
              <w:rPr>
                <w:color w:val="auto"/>
              </w:rPr>
              <w:lastRenderedPageBreak/>
              <w:t>Any adverse reaction to a vaccine should be documented in accordance with locally agreed procedures in the individual’s record and the individual’s GP should be informed.</w:t>
            </w:r>
          </w:p>
          <w:p w14:paraId="657449FD" w14:textId="77777777" w:rsidR="00712992" w:rsidRPr="009F0531" w:rsidRDefault="00712992" w:rsidP="00712992">
            <w:pPr>
              <w:pStyle w:val="TableBody"/>
              <w:rPr>
                <w:color w:val="auto"/>
              </w:rPr>
            </w:pPr>
            <w:r w:rsidRPr="009F0531">
              <w:rPr>
                <w:color w:val="auto"/>
              </w:rPr>
              <w:t>Anaphylaxis is a very rare, recognised side effect of most vaccines and suspected cases should be reported via the Coronavirus Yellow Card Scheme. Chapter 8 of the Green Book gives detailed guidance on distinguishing between faints, panic attacks and the signs and symptoms of anaphylaxis. If a case of suspected anaphylaxis meets the clinical features described in Chapter 8, this should be reported via the Yellow Card Scheme as a case of ‘anaphylaxis’ (or if appropriate ‘anaphylactoid reaction’). Cases of less severe allergic reactions (i.e. not including the clinical features of anaphylaxis) should not be reported as anaphylaxis but as ‘allergic reaction’.</w:t>
            </w:r>
          </w:p>
          <w:p w14:paraId="1DC9B7FF" w14:textId="73D4B735" w:rsidR="00C23CE5" w:rsidRDefault="00712992" w:rsidP="007C5E0C">
            <w:pPr>
              <w:pStyle w:val="TableBody"/>
            </w:pPr>
            <w:r w:rsidRPr="009F0531">
              <w:rPr>
                <w:color w:val="auto"/>
              </w:rPr>
              <w:t xml:space="preserve">Programmatic Adverse Events should be recorded in line with local procedures and where appropriate escalated in accordance with </w:t>
            </w:r>
            <w:r w:rsidR="00076A28">
              <w:rPr>
                <w:color w:val="auto"/>
              </w:rPr>
              <w:t xml:space="preserve">the </w:t>
            </w:r>
            <w:r w:rsidRPr="009F0531">
              <w:rPr>
                <w:color w:val="auto"/>
              </w:rPr>
              <w:t>national framework.</w:t>
            </w:r>
          </w:p>
        </w:tc>
      </w:tr>
      <w:tr w:rsidR="00C23CE5" w14:paraId="5192A3BF" w14:textId="77777777" w:rsidTr="00F32AFF">
        <w:tblPrEx>
          <w:tblCellMar>
            <w:top w:w="0" w:type="dxa"/>
            <w:bottom w:w="0" w:type="dxa"/>
          </w:tblCellMar>
        </w:tblPrEx>
        <w:tc>
          <w:tcPr>
            <w:tcW w:w="2263" w:type="dxa"/>
          </w:tcPr>
          <w:p w14:paraId="689343FC" w14:textId="19496593" w:rsidR="00C23CE5" w:rsidRPr="007C5E0C" w:rsidRDefault="00C23CE5" w:rsidP="00C23CE5">
            <w:pPr>
              <w:pStyle w:val="TableBody"/>
              <w:rPr>
                <w:b/>
              </w:rPr>
            </w:pPr>
            <w:bookmarkStart w:id="30" w:name="_Toc57039432"/>
            <w:r w:rsidRPr="007C5E0C">
              <w:rPr>
                <w:b/>
              </w:rPr>
              <w:lastRenderedPageBreak/>
              <w:t>Advice to patient or carer including written information</w:t>
            </w:r>
            <w:bookmarkEnd w:id="30"/>
          </w:p>
        </w:tc>
        <w:tc>
          <w:tcPr>
            <w:tcW w:w="7931" w:type="dxa"/>
          </w:tcPr>
          <w:p w14:paraId="636041A1" w14:textId="77777777" w:rsidR="00912AC3" w:rsidRPr="00912AC3" w:rsidRDefault="00912AC3" w:rsidP="00912AC3">
            <w:pPr>
              <w:pStyle w:val="TableBody"/>
              <w:rPr>
                <w:color w:val="auto"/>
              </w:rPr>
            </w:pPr>
            <w:r w:rsidRPr="00912AC3">
              <w:rPr>
                <w:color w:val="auto"/>
              </w:rPr>
              <w:t>Written information to be given to individual</w:t>
            </w:r>
          </w:p>
          <w:p w14:paraId="7EC2AA0E" w14:textId="77777777" w:rsidR="00912AC3" w:rsidRPr="00912AC3" w:rsidRDefault="00912AC3" w:rsidP="00C34FCC">
            <w:pPr>
              <w:pStyle w:val="TableBody"/>
              <w:numPr>
                <w:ilvl w:val="0"/>
                <w:numId w:val="22"/>
              </w:numPr>
              <w:rPr>
                <w:color w:val="auto"/>
              </w:rPr>
            </w:pPr>
            <w:r w:rsidRPr="00912AC3">
              <w:rPr>
                <w:color w:val="auto"/>
              </w:rPr>
              <w:t xml:space="preserve">Provide manufacturer’s consumer information leaflet/patient information leaflet (PIL) provided with the vaccine.  </w:t>
            </w:r>
          </w:p>
          <w:p w14:paraId="0D02E2DC" w14:textId="6701ED1A" w:rsidR="00912AC3" w:rsidRDefault="00912AC3" w:rsidP="00C34FCC">
            <w:pPr>
              <w:pStyle w:val="TableBody"/>
              <w:numPr>
                <w:ilvl w:val="0"/>
                <w:numId w:val="22"/>
              </w:numPr>
              <w:rPr>
                <w:color w:val="auto"/>
              </w:rPr>
            </w:pPr>
            <w:r w:rsidRPr="00912AC3">
              <w:rPr>
                <w:color w:val="auto"/>
              </w:rPr>
              <w:t>Provide copy of Public Health Scotland post- vaccination leaflet</w:t>
            </w:r>
          </w:p>
          <w:p w14:paraId="4FF1E9D1" w14:textId="3799B93D" w:rsidR="00C34FCC" w:rsidRPr="00C34FCC" w:rsidRDefault="00C34FCC" w:rsidP="00C34FCC">
            <w:pPr>
              <w:pStyle w:val="TableBody"/>
              <w:numPr>
                <w:ilvl w:val="0"/>
                <w:numId w:val="22"/>
              </w:numPr>
              <w:rPr>
                <w:color w:val="auto"/>
              </w:rPr>
            </w:pPr>
            <w:r w:rsidRPr="00C34FCC">
              <w:rPr>
                <w:color w:val="auto"/>
              </w:rPr>
              <w:t>Provide copy of Pregnant, planning a pregnancy or breastfeeding, a guide to COVID-19 vaccine to women of child bearing years</w:t>
            </w:r>
          </w:p>
          <w:p w14:paraId="55A6F886" w14:textId="77777777" w:rsidR="00912AC3" w:rsidRPr="00912AC3" w:rsidRDefault="00912AC3" w:rsidP="00912AC3">
            <w:pPr>
              <w:pStyle w:val="TableBody"/>
              <w:rPr>
                <w:color w:val="auto"/>
              </w:rPr>
            </w:pPr>
            <w:r w:rsidRPr="00912AC3">
              <w:rPr>
                <w:color w:val="auto"/>
              </w:rPr>
              <w:t>Individual advice / follow up treatment</w:t>
            </w:r>
          </w:p>
          <w:p w14:paraId="01991462" w14:textId="77777777" w:rsidR="00912AC3" w:rsidRPr="00912AC3" w:rsidRDefault="00912AC3" w:rsidP="00C34FCC">
            <w:pPr>
              <w:pStyle w:val="TableBody"/>
              <w:numPr>
                <w:ilvl w:val="0"/>
                <w:numId w:val="22"/>
              </w:numPr>
              <w:rPr>
                <w:color w:val="auto"/>
              </w:rPr>
            </w:pPr>
            <w:r w:rsidRPr="00912AC3">
              <w:rPr>
                <w:color w:val="auto"/>
              </w:rPr>
              <w:t xml:space="preserve">Inform the individual/carer of possible side effects and their management. </w:t>
            </w:r>
          </w:p>
          <w:p w14:paraId="68AFB610" w14:textId="77777777" w:rsidR="00912AC3" w:rsidRPr="00912AC3" w:rsidRDefault="00912AC3" w:rsidP="00C34FCC">
            <w:pPr>
              <w:pStyle w:val="TableBody"/>
              <w:numPr>
                <w:ilvl w:val="0"/>
                <w:numId w:val="22"/>
              </w:numPr>
              <w:rPr>
                <w:color w:val="auto"/>
              </w:rPr>
            </w:pPr>
            <w:r w:rsidRPr="00912AC3">
              <w:rPr>
                <w:color w:val="auto"/>
              </w:rPr>
              <w:lastRenderedPageBreak/>
              <w:t xml:space="preserve">Vaccinated individuals should be advised that it is common to develop a fever after vaccination and that this normally happens within 48 hours after the vaccination and usually goes away within 48 hours. This is a common, expected reaction, and self-isolation and testing for COVID-19 are not required unless the individual has other COVID-19 symptoms; has been told by NHS Test and Protect they are a close contact of someone who has tested positive for COVID-19; they live with someone who has recently tested positive for COVID-19; or they live with someone who has symptoms of COVID-19. </w:t>
            </w:r>
          </w:p>
          <w:p w14:paraId="37E86213" w14:textId="77777777" w:rsidR="00912AC3" w:rsidRPr="00912AC3" w:rsidRDefault="00912AC3" w:rsidP="00C34FCC">
            <w:pPr>
              <w:pStyle w:val="TableBody"/>
              <w:numPr>
                <w:ilvl w:val="0"/>
                <w:numId w:val="22"/>
              </w:numPr>
              <w:rPr>
                <w:color w:val="auto"/>
              </w:rPr>
            </w:pPr>
            <w:r w:rsidRPr="00912AC3">
              <w:rPr>
                <w:color w:val="auto"/>
              </w:rPr>
              <w:t>Vaccinated individuals should be advised that if the fever started 48 hours after the vaccination or lasts longer than 48 hours, they should self-isolate and book a test.</w:t>
            </w:r>
          </w:p>
          <w:p w14:paraId="6907452C" w14:textId="77777777" w:rsidR="00912AC3" w:rsidRPr="00912AC3" w:rsidRDefault="00912AC3" w:rsidP="00C34FCC">
            <w:pPr>
              <w:pStyle w:val="TableBody"/>
              <w:numPr>
                <w:ilvl w:val="0"/>
                <w:numId w:val="22"/>
              </w:numPr>
              <w:rPr>
                <w:color w:val="auto"/>
              </w:rPr>
            </w:pPr>
            <w:r w:rsidRPr="00912AC3">
              <w:rPr>
                <w:color w:val="auto"/>
              </w:rPr>
              <w:t xml:space="preserve">Vaccinated individuals should be advised that feeling generally unwell, shivery, achy and tired were also symptoms commonly reported by vaccine recipients in the clinical trials. Generally, these symptoms were found to resolve within one to two days without treatment but paracetamol can be taken if necessary to relieve any of these symptoms.  </w:t>
            </w:r>
          </w:p>
          <w:p w14:paraId="56F593C2" w14:textId="77777777" w:rsidR="00912AC3" w:rsidRPr="00912AC3" w:rsidRDefault="00912AC3" w:rsidP="00C34FCC">
            <w:pPr>
              <w:pStyle w:val="TableBody"/>
              <w:numPr>
                <w:ilvl w:val="0"/>
                <w:numId w:val="22"/>
              </w:numPr>
              <w:rPr>
                <w:color w:val="auto"/>
              </w:rPr>
            </w:pPr>
            <w:r w:rsidRPr="00912AC3">
              <w:rPr>
                <w:color w:val="auto"/>
              </w:rPr>
              <w:t>As has always been recommended, any fever after vaccination should be monitored and if individuals are concerned about their health at any time, they should seek advice from their GP or NHS24</w:t>
            </w:r>
          </w:p>
          <w:p w14:paraId="26324D19" w14:textId="77777777" w:rsidR="00912AC3" w:rsidRPr="00912AC3" w:rsidRDefault="00912AC3" w:rsidP="00C34FCC">
            <w:pPr>
              <w:pStyle w:val="TableBody"/>
              <w:numPr>
                <w:ilvl w:val="0"/>
                <w:numId w:val="22"/>
              </w:numPr>
              <w:rPr>
                <w:color w:val="auto"/>
              </w:rPr>
            </w:pPr>
            <w:r w:rsidRPr="00912AC3">
              <w:rPr>
                <w:color w:val="auto"/>
              </w:rPr>
              <w:t>The individual should be advised to seek medical advice in the event of a severe adverse reaction.</w:t>
            </w:r>
          </w:p>
          <w:p w14:paraId="72C486D4" w14:textId="5B2EC50F" w:rsidR="00912AC3" w:rsidRPr="00912AC3" w:rsidRDefault="00912AC3" w:rsidP="00C34FCC">
            <w:pPr>
              <w:pStyle w:val="TableBody"/>
              <w:numPr>
                <w:ilvl w:val="0"/>
                <w:numId w:val="22"/>
              </w:numPr>
              <w:rPr>
                <w:color w:val="auto"/>
              </w:rPr>
            </w:pPr>
            <w:r w:rsidRPr="00912AC3">
              <w:rPr>
                <w:color w:val="auto"/>
              </w:rPr>
              <w:t xml:space="preserve">Inform the individual that they can report suspected adverse reactions to the MHRA using the Yellow Card reporting scheme on: </w:t>
            </w:r>
            <w:hyperlink r:id="rId15" w:history="1">
              <w:r w:rsidRPr="00487A27">
                <w:rPr>
                  <w:rStyle w:val="Hyperlink"/>
                </w:rPr>
                <w:t>http://yel</w:t>
              </w:r>
              <w:r w:rsidR="00487A27" w:rsidRPr="00487A27">
                <w:rPr>
                  <w:rStyle w:val="Hyperlink"/>
                </w:rPr>
                <w:t>lowcard.mhra.gov.uk</w:t>
              </w:r>
            </w:hyperlink>
          </w:p>
          <w:p w14:paraId="78756F8B" w14:textId="73CEBF60" w:rsidR="00912AC3" w:rsidRDefault="00912AC3" w:rsidP="00C34FCC">
            <w:pPr>
              <w:pStyle w:val="TableBody"/>
              <w:numPr>
                <w:ilvl w:val="0"/>
                <w:numId w:val="22"/>
              </w:numPr>
              <w:rPr>
                <w:color w:val="auto"/>
              </w:rPr>
            </w:pPr>
            <w:r w:rsidRPr="00912AC3">
              <w:rPr>
                <w:color w:val="auto"/>
              </w:rPr>
              <w:lastRenderedPageBreak/>
              <w:t>Immunosuppressed individuals should be advised that they may not make a full immune response to the vaccine and they should continue to take appropriate measures to protect themselves against this infection.</w:t>
            </w:r>
          </w:p>
          <w:p w14:paraId="41652EE7" w14:textId="77777777" w:rsidR="00912AC3" w:rsidRDefault="00912AC3" w:rsidP="00C34FCC">
            <w:pPr>
              <w:pStyle w:val="TableBody"/>
              <w:numPr>
                <w:ilvl w:val="0"/>
                <w:numId w:val="22"/>
              </w:numPr>
              <w:rPr>
                <w:color w:val="auto"/>
              </w:rPr>
            </w:pPr>
            <w:r w:rsidRPr="00912AC3">
              <w:rPr>
                <w:color w:val="auto"/>
              </w:rPr>
              <w:t>When administration is postponed advise the individual how future vaccination may be accessed</w:t>
            </w:r>
          </w:p>
          <w:p w14:paraId="74A3F8F4" w14:textId="61C53E77" w:rsidR="00C23CE5" w:rsidRPr="00912AC3" w:rsidRDefault="00912AC3" w:rsidP="00C34FCC">
            <w:pPr>
              <w:pStyle w:val="TableBody"/>
              <w:numPr>
                <w:ilvl w:val="0"/>
                <w:numId w:val="22"/>
              </w:numPr>
              <w:rPr>
                <w:color w:val="auto"/>
              </w:rPr>
            </w:pPr>
            <w:r w:rsidRPr="00912AC3">
              <w:rPr>
                <w:color w:val="auto"/>
              </w:rPr>
              <w:t>When applicable, advise the individual/carer when to return for vaccination or when a subsequent vaccine dose is due.</w:t>
            </w:r>
          </w:p>
        </w:tc>
      </w:tr>
      <w:tr w:rsidR="00C23CE5" w14:paraId="59FC63EC" w14:textId="77777777" w:rsidTr="00F32AFF">
        <w:tblPrEx>
          <w:tblCellMar>
            <w:top w:w="0" w:type="dxa"/>
            <w:bottom w:w="0" w:type="dxa"/>
          </w:tblCellMar>
        </w:tblPrEx>
        <w:tc>
          <w:tcPr>
            <w:tcW w:w="2263" w:type="dxa"/>
          </w:tcPr>
          <w:p w14:paraId="01A0C104" w14:textId="005623EF" w:rsidR="00C23CE5" w:rsidRPr="007C5E0C" w:rsidRDefault="006A6B9C" w:rsidP="00C23CE5">
            <w:pPr>
              <w:pStyle w:val="TableBody"/>
              <w:rPr>
                <w:b/>
              </w:rPr>
            </w:pPr>
            <w:r>
              <w:rPr>
                <w:b/>
              </w:rPr>
              <w:lastRenderedPageBreak/>
              <w:t>Observation following vaccination</w:t>
            </w:r>
          </w:p>
        </w:tc>
        <w:tc>
          <w:tcPr>
            <w:tcW w:w="7931" w:type="dxa"/>
          </w:tcPr>
          <w:p w14:paraId="0F1955C7" w14:textId="4D06B416" w:rsidR="00C23CE5" w:rsidRPr="00B564D8" w:rsidRDefault="00912AC3" w:rsidP="00912AC3">
            <w:pPr>
              <w:pStyle w:val="TableBody"/>
              <w:rPr>
                <w:color w:val="auto"/>
              </w:rPr>
            </w:pPr>
            <w:r w:rsidRPr="00B564D8">
              <w:rPr>
                <w:color w:val="auto"/>
              </w:rPr>
              <w:t>As syncope (fainting) can occur following vaccination, all vaccines should either be driven by someone else or should not drive for 15 minutes after vaccination.</w:t>
            </w:r>
          </w:p>
        </w:tc>
      </w:tr>
      <w:tr w:rsidR="00C23CE5" w14:paraId="5AA74C06" w14:textId="77777777" w:rsidTr="00F32AFF">
        <w:tblPrEx>
          <w:tblCellMar>
            <w:top w:w="0" w:type="dxa"/>
            <w:bottom w:w="0" w:type="dxa"/>
          </w:tblCellMar>
        </w:tblPrEx>
        <w:tc>
          <w:tcPr>
            <w:tcW w:w="2263" w:type="dxa"/>
          </w:tcPr>
          <w:p w14:paraId="429235A7" w14:textId="6CF73203" w:rsidR="00C23CE5" w:rsidRPr="007C5E0C" w:rsidRDefault="00C23CE5" w:rsidP="00C23CE5">
            <w:pPr>
              <w:pStyle w:val="TableBody"/>
              <w:rPr>
                <w:b/>
              </w:rPr>
            </w:pPr>
            <w:r w:rsidRPr="007C5E0C">
              <w:rPr>
                <w:b/>
              </w:rPr>
              <w:t>Follow up</w:t>
            </w:r>
          </w:p>
        </w:tc>
        <w:tc>
          <w:tcPr>
            <w:tcW w:w="7931" w:type="dxa"/>
          </w:tcPr>
          <w:p w14:paraId="7E2132D0" w14:textId="629287A1" w:rsidR="00C23CE5" w:rsidRPr="00B564D8" w:rsidRDefault="00912AC3" w:rsidP="00C23CE5">
            <w:pPr>
              <w:pStyle w:val="TableBody"/>
              <w:rPr>
                <w:color w:val="auto"/>
              </w:rPr>
            </w:pPr>
            <w:r w:rsidRPr="00B564D8">
              <w:rPr>
                <w:color w:val="auto"/>
              </w:rPr>
              <w:t>Not applicable</w:t>
            </w:r>
          </w:p>
        </w:tc>
      </w:tr>
      <w:tr w:rsidR="00C23CE5" w14:paraId="79E0D3DE" w14:textId="77777777" w:rsidTr="00F32AFF">
        <w:tblPrEx>
          <w:tblCellMar>
            <w:top w:w="0" w:type="dxa"/>
            <w:bottom w:w="0" w:type="dxa"/>
          </w:tblCellMar>
        </w:tblPrEx>
        <w:tc>
          <w:tcPr>
            <w:tcW w:w="2263" w:type="dxa"/>
          </w:tcPr>
          <w:p w14:paraId="33ECF027" w14:textId="3CBB39E1" w:rsidR="00C23CE5" w:rsidRPr="007C5E0C" w:rsidRDefault="00C23CE5" w:rsidP="00C23CE5">
            <w:pPr>
              <w:pStyle w:val="TableBody"/>
              <w:rPr>
                <w:b/>
              </w:rPr>
            </w:pPr>
            <w:r w:rsidRPr="007C5E0C">
              <w:rPr>
                <w:b/>
              </w:rPr>
              <w:t>Additional facilities</w:t>
            </w:r>
          </w:p>
        </w:tc>
        <w:tc>
          <w:tcPr>
            <w:tcW w:w="7931" w:type="dxa"/>
          </w:tcPr>
          <w:p w14:paraId="23C5E4A2" w14:textId="3D0B5B67" w:rsidR="00C23CE5" w:rsidRPr="00912AC3" w:rsidRDefault="00912AC3" w:rsidP="00B564D8">
            <w:pPr>
              <w:pStyle w:val="TableBody"/>
              <w:rPr>
                <w:color w:val="auto"/>
              </w:rPr>
            </w:pPr>
            <w:r w:rsidRPr="00912AC3">
              <w:rPr>
                <w:color w:val="auto"/>
              </w:rPr>
              <w:t xml:space="preserve">A protocol for the management of anaphylaxis and an anaphylaxis pack must always be available whenever </w:t>
            </w:r>
            <w:r w:rsidR="00DE5B0A">
              <w:t xml:space="preserve">AstraZeneca COVID-19 Vaccine (ChAdOx1-S [Recombinant]) </w:t>
            </w:r>
            <w:r w:rsidRPr="00912AC3">
              <w:rPr>
                <w:color w:val="auto"/>
              </w:rPr>
              <w:t>is given. Immediate treatment should include early treatment with 0.5mg intramuscular adrenaline (0.5ml of 1:1000 or 1mg/ml adrenaline), with an early call for help and further IM adrenaline every 5 minutes. The health professionals overseeing the immunisation service must be trained to recognise an anaphylactic reaction and be familiar with techniques for resuscitation of a patient with anaphylaxis.</w:t>
            </w:r>
          </w:p>
        </w:tc>
      </w:tr>
    </w:tbl>
    <w:p w14:paraId="3E0C61CD" w14:textId="77777777" w:rsidR="00C23CE5" w:rsidRPr="00C23CE5" w:rsidRDefault="00C23CE5" w:rsidP="00C23CE5"/>
    <w:p w14:paraId="6C9DBD6C" w14:textId="77777777" w:rsidR="007C5E0C" w:rsidRDefault="007C5E0C">
      <w:pPr>
        <w:spacing w:after="160" w:line="259" w:lineRule="auto"/>
        <w:rPr>
          <w:rFonts w:eastAsiaTheme="majorEastAsia" w:cstheme="majorBidi"/>
          <w:b/>
          <w:color w:val="43358B"/>
          <w:sz w:val="36"/>
          <w:szCs w:val="36"/>
        </w:rPr>
      </w:pPr>
      <w:bookmarkStart w:id="31" w:name="_Toc57039436"/>
      <w:bookmarkStart w:id="32" w:name="_Toc57039490"/>
      <w:bookmarkStart w:id="33" w:name="_Toc57105455"/>
      <w:bookmarkEnd w:id="27"/>
      <w:r>
        <w:br w:type="page"/>
      </w:r>
    </w:p>
    <w:p w14:paraId="33855B5B" w14:textId="45BC6D2E" w:rsidR="00B47942" w:rsidRDefault="00B47942" w:rsidP="00B47942">
      <w:pPr>
        <w:pStyle w:val="Heading1"/>
      </w:pPr>
      <w:bookmarkStart w:id="34" w:name="_Toc60297528"/>
      <w:r w:rsidRPr="00B47942">
        <w:lastRenderedPageBreak/>
        <w:t>Characteristics of staff authorised under the PGD</w:t>
      </w:r>
      <w:bookmarkEnd w:id="31"/>
      <w:bookmarkEnd w:id="32"/>
      <w:bookmarkEnd w:id="33"/>
      <w:bookmarkEnd w:id="34"/>
    </w:p>
    <w:tbl>
      <w:tblPr>
        <w:tblStyle w:val="TableGrid"/>
        <w:tblW w:w="0" w:type="auto"/>
        <w:tblLook w:val="04A0" w:firstRow="1" w:lastRow="0" w:firstColumn="1" w:lastColumn="0" w:noHBand="0" w:noVBand="1"/>
      </w:tblPr>
      <w:tblGrid>
        <w:gridCol w:w="2263"/>
        <w:gridCol w:w="7931"/>
      </w:tblGrid>
      <w:tr w:rsidR="007C5E0C" w14:paraId="1D2B1D3B" w14:textId="77777777" w:rsidTr="007C5E0C">
        <w:trPr>
          <w:cnfStyle w:val="100000000000" w:firstRow="1" w:lastRow="0" w:firstColumn="0" w:lastColumn="0" w:oddVBand="0" w:evenVBand="0" w:oddHBand="0" w:evenHBand="0" w:firstRowFirstColumn="0" w:firstRowLastColumn="0" w:lastRowFirstColumn="0" w:lastRowLastColumn="0"/>
        </w:trPr>
        <w:tc>
          <w:tcPr>
            <w:tcW w:w="2263" w:type="dxa"/>
          </w:tcPr>
          <w:p w14:paraId="7F122063" w14:textId="3492E230" w:rsidR="007C5E0C" w:rsidRDefault="007C5E0C" w:rsidP="007C5E0C">
            <w:pPr>
              <w:pStyle w:val="TableHead"/>
            </w:pPr>
            <w:r>
              <w:t>Category</w:t>
            </w:r>
          </w:p>
        </w:tc>
        <w:tc>
          <w:tcPr>
            <w:tcW w:w="7931" w:type="dxa"/>
          </w:tcPr>
          <w:p w14:paraId="75717890" w14:textId="7D51D33D" w:rsidR="007C5E0C" w:rsidRDefault="007C5E0C" w:rsidP="007C5E0C">
            <w:pPr>
              <w:pStyle w:val="TableHead"/>
            </w:pPr>
            <w:r>
              <w:t>Description</w:t>
            </w:r>
          </w:p>
        </w:tc>
      </w:tr>
      <w:tr w:rsidR="007C5E0C" w14:paraId="510EBAB4" w14:textId="77777777" w:rsidTr="007C5E0C">
        <w:tblPrEx>
          <w:tblCellMar>
            <w:top w:w="0" w:type="dxa"/>
            <w:bottom w:w="0" w:type="dxa"/>
          </w:tblCellMar>
        </w:tblPrEx>
        <w:tc>
          <w:tcPr>
            <w:tcW w:w="2263" w:type="dxa"/>
          </w:tcPr>
          <w:p w14:paraId="276652D6" w14:textId="64F7B345" w:rsidR="007C5E0C" w:rsidRPr="007C5E0C" w:rsidRDefault="007C5E0C" w:rsidP="007C5E0C">
            <w:pPr>
              <w:pStyle w:val="TableBody"/>
              <w:rPr>
                <w:b/>
              </w:rPr>
            </w:pPr>
            <w:bookmarkStart w:id="35" w:name="_Toc57039437"/>
            <w:r w:rsidRPr="007C5E0C">
              <w:rPr>
                <w:b/>
              </w:rPr>
              <w:t>Professional qualifications</w:t>
            </w:r>
            <w:bookmarkEnd w:id="35"/>
          </w:p>
          <w:p w14:paraId="1A0D3016" w14:textId="77777777" w:rsidR="007C5E0C" w:rsidRPr="007C5E0C" w:rsidRDefault="007C5E0C" w:rsidP="007C5E0C">
            <w:pPr>
              <w:pStyle w:val="TableBody"/>
              <w:rPr>
                <w:b/>
              </w:rPr>
            </w:pPr>
          </w:p>
        </w:tc>
        <w:tc>
          <w:tcPr>
            <w:tcW w:w="7931" w:type="dxa"/>
          </w:tcPr>
          <w:p w14:paraId="2D589096" w14:textId="7B78365C" w:rsidR="00A44098" w:rsidRPr="00A44098" w:rsidRDefault="00A44098" w:rsidP="00A44098">
            <w:pPr>
              <w:pStyle w:val="TableBody"/>
              <w:rPr>
                <w:color w:val="auto"/>
              </w:rPr>
            </w:pPr>
            <w:r w:rsidRPr="00A44098">
              <w:rPr>
                <w:color w:val="auto"/>
              </w:rPr>
              <w:t xml:space="preserve">The following classes of registered healthcare practitioners are permitted to administer </w:t>
            </w:r>
            <w:r w:rsidR="00DE5B0A">
              <w:t>AstraZeneca COVID-19 Vaccine (ChAdOx1-S [Recombinant])</w:t>
            </w:r>
          </w:p>
          <w:p w14:paraId="39AF908D" w14:textId="77777777" w:rsidR="00A44098" w:rsidRPr="00A44098" w:rsidRDefault="00A44098" w:rsidP="00A44098">
            <w:pPr>
              <w:pStyle w:val="TableBody"/>
              <w:numPr>
                <w:ilvl w:val="0"/>
                <w:numId w:val="22"/>
              </w:numPr>
              <w:rPr>
                <w:color w:val="auto"/>
              </w:rPr>
            </w:pPr>
            <w:r w:rsidRPr="00A44098">
              <w:rPr>
                <w:color w:val="auto"/>
              </w:rPr>
              <w:t>nurses and midwives currently registered with the Nursing and Midwifery Council (NMC)</w:t>
            </w:r>
          </w:p>
          <w:p w14:paraId="1F4944B2" w14:textId="77777777" w:rsidR="00A44098" w:rsidRPr="00A44098" w:rsidRDefault="00A44098" w:rsidP="00A44098">
            <w:pPr>
              <w:pStyle w:val="TableBody"/>
              <w:numPr>
                <w:ilvl w:val="0"/>
                <w:numId w:val="22"/>
              </w:numPr>
              <w:rPr>
                <w:color w:val="auto"/>
              </w:rPr>
            </w:pPr>
            <w:r w:rsidRPr="00A44098">
              <w:rPr>
                <w:color w:val="auto"/>
              </w:rPr>
              <w:t xml:space="preserve">pharmacists currently registered with the General Pharmaceutical Council (GPhC) </w:t>
            </w:r>
          </w:p>
          <w:p w14:paraId="58DD217A" w14:textId="77777777" w:rsidR="00A44098" w:rsidRPr="00A44098" w:rsidRDefault="00A44098" w:rsidP="00A44098">
            <w:pPr>
              <w:pStyle w:val="TableBody"/>
              <w:numPr>
                <w:ilvl w:val="0"/>
                <w:numId w:val="22"/>
              </w:numPr>
              <w:rPr>
                <w:color w:val="auto"/>
              </w:rPr>
            </w:pPr>
            <w:r w:rsidRPr="00A44098">
              <w:rPr>
                <w:color w:val="auto"/>
              </w:rPr>
              <w:t>chiropodists/podiatrists, dieticians, occupational therapists, orthoptists, orthotists/prosthetists, paramedics, physiotherapists, radiographers and speech and language therapists currently registered with the Health and Care Professions Council (HCPC)</w:t>
            </w:r>
          </w:p>
          <w:p w14:paraId="1C829CB3" w14:textId="77777777" w:rsidR="00A44098" w:rsidRPr="00A44098" w:rsidRDefault="00A44098" w:rsidP="00A44098">
            <w:pPr>
              <w:pStyle w:val="TableBody"/>
              <w:numPr>
                <w:ilvl w:val="0"/>
                <w:numId w:val="22"/>
              </w:numPr>
              <w:rPr>
                <w:color w:val="auto"/>
              </w:rPr>
            </w:pPr>
            <w:r w:rsidRPr="00A44098">
              <w:rPr>
                <w:color w:val="auto"/>
              </w:rPr>
              <w:t>dental hygienists and dental therapists registered with the General Dental Council</w:t>
            </w:r>
          </w:p>
          <w:p w14:paraId="06FA72B2" w14:textId="59C23307" w:rsidR="007C5E0C" w:rsidRPr="00A44098" w:rsidRDefault="00A44098" w:rsidP="00A44098">
            <w:pPr>
              <w:pStyle w:val="TableBody"/>
              <w:numPr>
                <w:ilvl w:val="0"/>
                <w:numId w:val="22"/>
              </w:numPr>
              <w:rPr>
                <w:color w:val="auto"/>
              </w:rPr>
            </w:pPr>
            <w:r w:rsidRPr="00A44098">
              <w:rPr>
                <w:color w:val="auto"/>
              </w:rPr>
              <w:t>optometrists registered with the General Optical Council.</w:t>
            </w:r>
          </w:p>
        </w:tc>
      </w:tr>
      <w:tr w:rsidR="007C5E0C" w14:paraId="1DA6C489" w14:textId="77777777" w:rsidTr="007C5E0C">
        <w:tblPrEx>
          <w:tblCellMar>
            <w:top w:w="0" w:type="dxa"/>
            <w:bottom w:w="0" w:type="dxa"/>
          </w:tblCellMar>
        </w:tblPrEx>
        <w:tc>
          <w:tcPr>
            <w:tcW w:w="2263" w:type="dxa"/>
          </w:tcPr>
          <w:p w14:paraId="7E2C732A" w14:textId="6763EEB9" w:rsidR="007C5E0C" w:rsidRPr="007C5E0C" w:rsidRDefault="007C5E0C" w:rsidP="007C5E0C">
            <w:pPr>
              <w:pStyle w:val="TableBody"/>
              <w:rPr>
                <w:b/>
              </w:rPr>
            </w:pPr>
            <w:bookmarkStart w:id="36" w:name="_Toc57039438"/>
            <w:r w:rsidRPr="007C5E0C">
              <w:rPr>
                <w:b/>
              </w:rPr>
              <w:t>Specialist competencies or qualifications</w:t>
            </w:r>
            <w:bookmarkEnd w:id="36"/>
          </w:p>
          <w:p w14:paraId="3D1D7364" w14:textId="77777777" w:rsidR="007C5E0C" w:rsidRPr="007C5E0C" w:rsidRDefault="007C5E0C" w:rsidP="007C5E0C">
            <w:pPr>
              <w:pStyle w:val="TableBody"/>
              <w:rPr>
                <w:b/>
              </w:rPr>
            </w:pPr>
          </w:p>
        </w:tc>
        <w:tc>
          <w:tcPr>
            <w:tcW w:w="7931" w:type="dxa"/>
          </w:tcPr>
          <w:p w14:paraId="6CD63CE6" w14:textId="77777777" w:rsidR="00A44098" w:rsidRPr="006F6248" w:rsidRDefault="00A44098" w:rsidP="00A44098">
            <w:pPr>
              <w:pStyle w:val="Tablebullet1"/>
              <w:numPr>
                <w:ilvl w:val="0"/>
                <w:numId w:val="0"/>
              </w:numPr>
              <w:rPr>
                <w:color w:val="auto"/>
              </w:rPr>
            </w:pPr>
            <w:r w:rsidRPr="006F6248">
              <w:rPr>
                <w:color w:val="auto"/>
              </w:rPr>
              <w:t>Persons must only work under this PGD where they are competent to do so.</w:t>
            </w:r>
          </w:p>
          <w:p w14:paraId="67DE4EE1" w14:textId="77777777" w:rsidR="00A44098" w:rsidRPr="006F6248" w:rsidRDefault="00A44098" w:rsidP="00A44098">
            <w:pPr>
              <w:pStyle w:val="Tablebullet1"/>
              <w:numPr>
                <w:ilvl w:val="0"/>
                <w:numId w:val="0"/>
              </w:numPr>
              <w:rPr>
                <w:color w:val="auto"/>
              </w:rPr>
            </w:pPr>
            <w:r w:rsidRPr="006F6248">
              <w:rPr>
                <w:color w:val="auto"/>
              </w:rPr>
              <w:t>All practitioners operating this PGD must:</w:t>
            </w:r>
          </w:p>
          <w:p w14:paraId="4694C954" w14:textId="77777777" w:rsidR="00A44098" w:rsidRPr="006F6248" w:rsidRDefault="00A44098" w:rsidP="00A44098">
            <w:pPr>
              <w:pStyle w:val="Tablebullet1"/>
              <w:numPr>
                <w:ilvl w:val="0"/>
                <w:numId w:val="0"/>
              </w:numPr>
              <w:ind w:left="454" w:hanging="227"/>
              <w:rPr>
                <w:color w:val="auto"/>
              </w:rPr>
            </w:pPr>
            <w:r w:rsidRPr="006F6248">
              <w:rPr>
                <w:color w:val="auto"/>
              </w:rPr>
              <w:t>a.</w:t>
            </w:r>
            <w:r w:rsidRPr="006F6248">
              <w:rPr>
                <w:color w:val="auto"/>
              </w:rPr>
              <w:tab/>
              <w:t>demonstrate appropriate knowledge and skills to work under the PGD for the administration of COVID-19 vaccine.</w:t>
            </w:r>
          </w:p>
          <w:p w14:paraId="795948FC" w14:textId="72CCF203" w:rsidR="00A44098" w:rsidRPr="006F6248" w:rsidRDefault="00A44098" w:rsidP="00A44098">
            <w:pPr>
              <w:pStyle w:val="Tablebullet1"/>
              <w:numPr>
                <w:ilvl w:val="0"/>
                <w:numId w:val="0"/>
              </w:numPr>
              <w:ind w:left="454" w:hanging="227"/>
              <w:rPr>
                <w:color w:val="auto"/>
              </w:rPr>
            </w:pPr>
            <w:r w:rsidRPr="006F6248">
              <w:rPr>
                <w:color w:val="auto"/>
              </w:rPr>
              <w:t>b.</w:t>
            </w:r>
            <w:r w:rsidRPr="006F6248">
              <w:rPr>
                <w:color w:val="auto"/>
              </w:rPr>
              <w:tab/>
              <w:t xml:space="preserve"> Have met the requirements of the NES Proficiency document -COVID-19 vaccine administration for registered staff or the NES Proficiency document –COVID-19 vaccine administration. This NES Proficiency document can be </w:t>
            </w:r>
            <w:r w:rsidRPr="006F6248">
              <w:rPr>
                <w:color w:val="auto"/>
              </w:rPr>
              <w:lastRenderedPageBreak/>
              <w:t xml:space="preserve">found at TURAS Learn at: </w:t>
            </w:r>
            <w:hyperlink r:id="rId16" w:history="1">
              <w:r w:rsidRPr="006F6248">
                <w:rPr>
                  <w:rStyle w:val="Hyperlink"/>
                  <w:color w:val="auto"/>
                </w:rPr>
                <w:t>https://learn.nes.nhs.scot/37676/immunisation/covid-19-vaccines</w:t>
              </w:r>
            </w:hyperlink>
          </w:p>
          <w:p w14:paraId="6F9CED2F" w14:textId="77777777" w:rsidR="00A44098" w:rsidRPr="006F6248" w:rsidRDefault="00A44098" w:rsidP="00A44098">
            <w:pPr>
              <w:pStyle w:val="Tablebullet1"/>
              <w:numPr>
                <w:ilvl w:val="0"/>
                <w:numId w:val="0"/>
              </w:numPr>
              <w:rPr>
                <w:color w:val="auto"/>
              </w:rPr>
            </w:pPr>
            <w:r w:rsidRPr="006F6248">
              <w:rPr>
                <w:color w:val="auto"/>
              </w:rPr>
              <w:t>All persons operating this PGD:</w:t>
            </w:r>
          </w:p>
          <w:p w14:paraId="72440EB2" w14:textId="77777777" w:rsidR="00A44098" w:rsidRPr="006F6248" w:rsidRDefault="00A44098" w:rsidP="00A44098">
            <w:pPr>
              <w:pStyle w:val="Tablebullet1"/>
              <w:numPr>
                <w:ilvl w:val="0"/>
                <w:numId w:val="22"/>
              </w:numPr>
              <w:rPr>
                <w:color w:val="auto"/>
              </w:rPr>
            </w:pPr>
            <w:r w:rsidRPr="006F6248">
              <w:rPr>
                <w:color w:val="auto"/>
              </w:rPr>
              <w:t>must be authorised by name by their employer as an approved person under the current terms of this PGD before working to it</w:t>
            </w:r>
          </w:p>
          <w:p w14:paraId="37F4AEC9" w14:textId="77777777" w:rsidR="00A44098" w:rsidRPr="006F6248" w:rsidRDefault="00A44098" w:rsidP="00A44098">
            <w:pPr>
              <w:pStyle w:val="Tablebullet1"/>
              <w:numPr>
                <w:ilvl w:val="0"/>
                <w:numId w:val="22"/>
              </w:numPr>
              <w:rPr>
                <w:color w:val="auto"/>
              </w:rPr>
            </w:pPr>
            <w:r w:rsidRPr="006F6248">
              <w:rPr>
                <w:color w:val="auto"/>
              </w:rPr>
              <w:t xml:space="preserve">must be familiar with the vaccine product and alert to changes in the manufacturers product information/summary of product information,  </w:t>
            </w:r>
          </w:p>
          <w:p w14:paraId="40E2330E" w14:textId="77777777" w:rsidR="00A44098" w:rsidRPr="006F6248" w:rsidRDefault="00A44098" w:rsidP="00A44098">
            <w:pPr>
              <w:pStyle w:val="Tablebullet1"/>
              <w:numPr>
                <w:ilvl w:val="0"/>
                <w:numId w:val="22"/>
              </w:numPr>
              <w:rPr>
                <w:color w:val="auto"/>
              </w:rPr>
            </w:pPr>
            <w:r w:rsidRPr="006F6248">
              <w:rPr>
                <w:color w:val="auto"/>
              </w:rPr>
              <w:t>must be competent to undertake immunisation and to discuss issues related to immunisation to assess patients for vaccination and obtain consent</w:t>
            </w:r>
          </w:p>
          <w:p w14:paraId="40CD785A" w14:textId="77777777" w:rsidR="00A44098" w:rsidRPr="006F6248" w:rsidRDefault="00A44098" w:rsidP="00A44098">
            <w:pPr>
              <w:pStyle w:val="Tablebullet1"/>
              <w:numPr>
                <w:ilvl w:val="0"/>
                <w:numId w:val="22"/>
              </w:numPr>
              <w:rPr>
                <w:color w:val="auto"/>
              </w:rPr>
            </w:pPr>
            <w:r w:rsidRPr="006F6248">
              <w:rPr>
                <w:color w:val="auto"/>
              </w:rPr>
              <w:t>must be competent in the correct storage of vaccines and management of the cold chain if receiving, responsible for, or handling the vaccine</w:t>
            </w:r>
          </w:p>
          <w:p w14:paraId="258EED7D" w14:textId="77777777" w:rsidR="00A44098" w:rsidRPr="006F6248" w:rsidRDefault="00A44098" w:rsidP="00A44098">
            <w:pPr>
              <w:pStyle w:val="Tablebullet1"/>
              <w:numPr>
                <w:ilvl w:val="0"/>
                <w:numId w:val="22"/>
              </w:numPr>
              <w:rPr>
                <w:color w:val="auto"/>
              </w:rPr>
            </w:pPr>
            <w:r w:rsidRPr="006F6248">
              <w:rPr>
                <w:color w:val="auto"/>
              </w:rPr>
              <w:t>must be competent in the recognition and management of anaphylaxis or under the supervision of persons able to respond appropriately to immediate adverse reactions</w:t>
            </w:r>
          </w:p>
          <w:p w14:paraId="77399140" w14:textId="77777777" w:rsidR="00A44098" w:rsidRPr="006F6248" w:rsidRDefault="00A44098" w:rsidP="00A44098">
            <w:pPr>
              <w:pStyle w:val="Tablebullet1"/>
              <w:numPr>
                <w:ilvl w:val="0"/>
                <w:numId w:val="22"/>
              </w:numPr>
              <w:rPr>
                <w:color w:val="auto"/>
              </w:rPr>
            </w:pPr>
            <w:r w:rsidRPr="006F6248">
              <w:rPr>
                <w:color w:val="auto"/>
              </w:rPr>
              <w:t>must have access to the PGD and associated online resources</w:t>
            </w:r>
          </w:p>
          <w:p w14:paraId="768630F8" w14:textId="77777777" w:rsidR="00A44098" w:rsidRPr="006F6248" w:rsidRDefault="00A44098" w:rsidP="00A44098">
            <w:pPr>
              <w:pStyle w:val="Tablebullet1"/>
              <w:numPr>
                <w:ilvl w:val="0"/>
                <w:numId w:val="22"/>
              </w:numPr>
              <w:rPr>
                <w:color w:val="auto"/>
              </w:rPr>
            </w:pPr>
            <w:r w:rsidRPr="006F6248">
              <w:rPr>
                <w:color w:val="auto"/>
              </w:rPr>
              <w:t>should fulfil any additional requirements defined by local policy</w:t>
            </w:r>
          </w:p>
          <w:p w14:paraId="5CD54453" w14:textId="77777777" w:rsidR="00A44098" w:rsidRPr="006F6248" w:rsidRDefault="00A44098" w:rsidP="00A44098">
            <w:pPr>
              <w:pStyle w:val="Tablebullet1"/>
              <w:numPr>
                <w:ilvl w:val="0"/>
                <w:numId w:val="0"/>
              </w:numPr>
              <w:rPr>
                <w:color w:val="auto"/>
              </w:rPr>
            </w:pPr>
            <w:r w:rsidRPr="006F6248">
              <w:rPr>
                <w:color w:val="auto"/>
              </w:rPr>
              <w:t xml:space="preserve">All practitioners operating under the PGD are responsible for ensuring they remain up to date with the use of COVID-19 vaccines included. If any training needs are identified these should be discussed with the individuals in the organisation responsible for authorising individuals to act under the PGD </w:t>
            </w:r>
          </w:p>
          <w:p w14:paraId="4834DB8E" w14:textId="77777777" w:rsidR="00A44098" w:rsidRPr="006F6248" w:rsidRDefault="00A44098" w:rsidP="00D540D2">
            <w:pPr>
              <w:pStyle w:val="Tablebullet1"/>
              <w:numPr>
                <w:ilvl w:val="0"/>
                <w:numId w:val="0"/>
              </w:numPr>
              <w:rPr>
                <w:color w:val="auto"/>
              </w:rPr>
            </w:pPr>
            <w:r w:rsidRPr="006F6248">
              <w:rPr>
                <w:color w:val="auto"/>
              </w:rPr>
              <w:t>Employer</w:t>
            </w:r>
          </w:p>
          <w:p w14:paraId="2ED7B85E" w14:textId="77777777" w:rsidR="00A44098" w:rsidRPr="006F6248" w:rsidRDefault="00A44098" w:rsidP="00D540D2">
            <w:pPr>
              <w:pStyle w:val="Tablebullet1"/>
              <w:numPr>
                <w:ilvl w:val="0"/>
                <w:numId w:val="0"/>
              </w:numPr>
              <w:ind w:left="34"/>
              <w:rPr>
                <w:color w:val="auto"/>
              </w:rPr>
            </w:pPr>
            <w:r w:rsidRPr="006F6248">
              <w:rPr>
                <w:color w:val="auto"/>
              </w:rPr>
              <w:lastRenderedPageBreak/>
              <w:t>The employer is responsible for ensuring that persons have the required knowledge and skills to safely deliver the activity they are employed to provide under this PGD</w:t>
            </w:r>
          </w:p>
          <w:p w14:paraId="2DE0A1AA" w14:textId="45E963DE" w:rsidR="007C5E0C" w:rsidRPr="006F6248" w:rsidRDefault="00A44098" w:rsidP="00A44098">
            <w:pPr>
              <w:pStyle w:val="Tablebullet1"/>
              <w:numPr>
                <w:ilvl w:val="0"/>
                <w:numId w:val="0"/>
              </w:numPr>
              <w:rPr>
                <w:color w:val="auto"/>
              </w:rPr>
            </w:pPr>
            <w:r w:rsidRPr="006F6248">
              <w:rPr>
                <w:color w:val="auto"/>
              </w:rPr>
              <w:t>As a minimum, competence requirements stipulated in the PGD must be adhered to.</w:t>
            </w:r>
          </w:p>
        </w:tc>
      </w:tr>
      <w:tr w:rsidR="007C5E0C" w14:paraId="448365F1" w14:textId="77777777" w:rsidTr="007C5E0C">
        <w:tblPrEx>
          <w:tblCellMar>
            <w:top w:w="0" w:type="dxa"/>
            <w:bottom w:w="0" w:type="dxa"/>
          </w:tblCellMar>
        </w:tblPrEx>
        <w:tc>
          <w:tcPr>
            <w:tcW w:w="2263" w:type="dxa"/>
          </w:tcPr>
          <w:p w14:paraId="21CE8414" w14:textId="1AEB75C7" w:rsidR="007C5E0C" w:rsidRPr="007C5E0C" w:rsidRDefault="007C5E0C" w:rsidP="007C5E0C">
            <w:pPr>
              <w:pStyle w:val="TableBody"/>
              <w:rPr>
                <w:b/>
              </w:rPr>
            </w:pPr>
            <w:bookmarkStart w:id="37" w:name="_Toc57039439"/>
            <w:r w:rsidRPr="007C5E0C">
              <w:rPr>
                <w:b/>
              </w:rPr>
              <w:lastRenderedPageBreak/>
              <w:t>Continuing education and training</w:t>
            </w:r>
            <w:bookmarkEnd w:id="37"/>
          </w:p>
        </w:tc>
        <w:tc>
          <w:tcPr>
            <w:tcW w:w="7931" w:type="dxa"/>
          </w:tcPr>
          <w:p w14:paraId="0AADB19C" w14:textId="771121FE" w:rsidR="007C5E0C" w:rsidRPr="00D540D2" w:rsidRDefault="00D540D2" w:rsidP="007C5E0C">
            <w:pPr>
              <w:pStyle w:val="TableBody"/>
              <w:rPr>
                <w:color w:val="auto"/>
              </w:rPr>
            </w:pPr>
            <w:r w:rsidRPr="00D540D2">
              <w:rPr>
                <w:color w:val="auto"/>
              </w:rPr>
              <w:t>All practitioners operating under the PGD are responsible for ensuring they remain up to date with the use of COVID-19 vaccines included. If any training needs are identified these should be discussed with the individuals in the organisation responsible for authorising individuals to act under this PGD.</w:t>
            </w:r>
          </w:p>
        </w:tc>
      </w:tr>
    </w:tbl>
    <w:p w14:paraId="23DC5FD1" w14:textId="77777777" w:rsidR="007C5E0C" w:rsidRDefault="007C5E0C" w:rsidP="00D35B5F">
      <w:pPr>
        <w:pStyle w:val="Heading1"/>
      </w:pPr>
      <w:bookmarkStart w:id="38" w:name="_Toc57039440"/>
      <w:bookmarkStart w:id="39" w:name="_Toc57039491"/>
      <w:bookmarkStart w:id="40" w:name="_Toc57105456"/>
    </w:p>
    <w:p w14:paraId="3ECDBFE8" w14:textId="77777777" w:rsidR="007C5E0C" w:rsidRDefault="007C5E0C">
      <w:pPr>
        <w:spacing w:after="160" w:line="259" w:lineRule="auto"/>
        <w:rPr>
          <w:rFonts w:eastAsiaTheme="majorEastAsia" w:cstheme="majorBidi"/>
          <w:b/>
          <w:color w:val="43358B"/>
          <w:sz w:val="36"/>
          <w:szCs w:val="36"/>
        </w:rPr>
      </w:pPr>
      <w:r>
        <w:br w:type="page"/>
      </w:r>
    </w:p>
    <w:p w14:paraId="19D9CDD4" w14:textId="58548DB8" w:rsidR="00B47942" w:rsidRDefault="00B47942" w:rsidP="00D35B5F">
      <w:pPr>
        <w:pStyle w:val="Heading1"/>
      </w:pPr>
      <w:bookmarkStart w:id="41" w:name="_Toc60297529"/>
      <w:r w:rsidRPr="00B47942">
        <w:lastRenderedPageBreak/>
        <w:t>Audit trail</w:t>
      </w:r>
      <w:bookmarkEnd w:id="38"/>
      <w:bookmarkEnd w:id="39"/>
      <w:bookmarkEnd w:id="40"/>
      <w:bookmarkEnd w:id="41"/>
    </w:p>
    <w:tbl>
      <w:tblPr>
        <w:tblStyle w:val="TableGrid"/>
        <w:tblW w:w="0" w:type="auto"/>
        <w:tblLook w:val="04A0" w:firstRow="1" w:lastRow="0" w:firstColumn="1" w:lastColumn="0" w:noHBand="0" w:noVBand="1"/>
      </w:tblPr>
      <w:tblGrid>
        <w:gridCol w:w="2547"/>
        <w:gridCol w:w="7647"/>
      </w:tblGrid>
      <w:tr w:rsidR="007C5E0C" w14:paraId="13517539" w14:textId="77777777" w:rsidTr="007C5E0C">
        <w:trPr>
          <w:cnfStyle w:val="100000000000" w:firstRow="1" w:lastRow="0" w:firstColumn="0" w:lastColumn="0" w:oddVBand="0" w:evenVBand="0" w:oddHBand="0" w:evenHBand="0" w:firstRowFirstColumn="0" w:firstRowLastColumn="0" w:lastRowFirstColumn="0" w:lastRowLastColumn="0"/>
          <w:cantSplit/>
        </w:trPr>
        <w:tc>
          <w:tcPr>
            <w:tcW w:w="2547" w:type="dxa"/>
          </w:tcPr>
          <w:p w14:paraId="319C8500" w14:textId="3E25A253" w:rsidR="007C5E0C" w:rsidRDefault="007C5E0C" w:rsidP="007C5E0C">
            <w:pPr>
              <w:pStyle w:val="TableHead"/>
            </w:pPr>
            <w:r>
              <w:t>Name</w:t>
            </w:r>
          </w:p>
        </w:tc>
        <w:tc>
          <w:tcPr>
            <w:tcW w:w="7647" w:type="dxa"/>
          </w:tcPr>
          <w:p w14:paraId="5CA7255E" w14:textId="39BAD4A0" w:rsidR="007C5E0C" w:rsidRDefault="007C5E0C" w:rsidP="007C5E0C">
            <w:pPr>
              <w:pStyle w:val="TableHead"/>
            </w:pPr>
            <w:r>
              <w:t>Description</w:t>
            </w:r>
          </w:p>
        </w:tc>
      </w:tr>
      <w:tr w:rsidR="007C5E0C" w14:paraId="118D5F4B" w14:textId="77777777" w:rsidTr="007C5E0C">
        <w:tblPrEx>
          <w:tblCellMar>
            <w:top w:w="0" w:type="dxa"/>
            <w:bottom w:w="0" w:type="dxa"/>
          </w:tblCellMar>
        </w:tblPrEx>
        <w:tc>
          <w:tcPr>
            <w:tcW w:w="2547" w:type="dxa"/>
          </w:tcPr>
          <w:p w14:paraId="098EF6CA" w14:textId="2AB912CC" w:rsidR="007C5E0C" w:rsidRPr="007C5E0C" w:rsidRDefault="007C5E0C" w:rsidP="007C5E0C">
            <w:pPr>
              <w:pStyle w:val="TableBody"/>
              <w:rPr>
                <w:b/>
              </w:rPr>
            </w:pPr>
            <w:bookmarkStart w:id="42" w:name="_Toc57039441"/>
            <w:r w:rsidRPr="007C5E0C">
              <w:rPr>
                <w:b/>
              </w:rPr>
              <w:t>Record/ audit trail</w:t>
            </w:r>
            <w:bookmarkEnd w:id="42"/>
          </w:p>
          <w:p w14:paraId="370AB8AA" w14:textId="77777777" w:rsidR="007C5E0C" w:rsidRPr="007C5E0C" w:rsidRDefault="007C5E0C" w:rsidP="007C5E0C">
            <w:pPr>
              <w:pStyle w:val="TableBody"/>
              <w:rPr>
                <w:b/>
              </w:rPr>
            </w:pPr>
          </w:p>
        </w:tc>
        <w:tc>
          <w:tcPr>
            <w:tcW w:w="7647" w:type="dxa"/>
          </w:tcPr>
          <w:p w14:paraId="28FD6E2E" w14:textId="77777777" w:rsidR="00D540D2" w:rsidRPr="00D540D2" w:rsidRDefault="00D540D2" w:rsidP="00D540D2">
            <w:pPr>
              <w:pStyle w:val="Tablebullet1"/>
              <w:numPr>
                <w:ilvl w:val="0"/>
                <w:numId w:val="0"/>
              </w:numPr>
            </w:pPr>
            <w:r w:rsidRPr="00D540D2">
              <w:t xml:space="preserve">Record: </w:t>
            </w:r>
          </w:p>
          <w:p w14:paraId="1D78A69E" w14:textId="77777777" w:rsidR="00D540D2" w:rsidRPr="00D540D2" w:rsidRDefault="00D540D2" w:rsidP="00D540D2">
            <w:pPr>
              <w:pStyle w:val="Tablebullet1"/>
              <w:numPr>
                <w:ilvl w:val="0"/>
                <w:numId w:val="22"/>
              </w:numPr>
            </w:pPr>
            <w:r w:rsidRPr="00D540D2">
              <w:t>that valid informed consent was given</w:t>
            </w:r>
          </w:p>
          <w:p w14:paraId="389CAEF3" w14:textId="77777777" w:rsidR="00D540D2" w:rsidRPr="00D540D2" w:rsidRDefault="00D540D2" w:rsidP="00D540D2">
            <w:pPr>
              <w:pStyle w:val="Tablebullet1"/>
              <w:numPr>
                <w:ilvl w:val="0"/>
                <w:numId w:val="22"/>
              </w:numPr>
            </w:pPr>
            <w:r w:rsidRPr="00D540D2">
              <w:t>name of individual, address, date of birth and GP with whom the individual is registered</w:t>
            </w:r>
          </w:p>
          <w:p w14:paraId="6DF078EA" w14:textId="77777777" w:rsidR="00D540D2" w:rsidRPr="00D540D2" w:rsidRDefault="00D540D2" w:rsidP="00D540D2">
            <w:pPr>
              <w:pStyle w:val="Tablebullet1"/>
              <w:numPr>
                <w:ilvl w:val="0"/>
                <w:numId w:val="22"/>
              </w:numPr>
            </w:pPr>
            <w:r w:rsidRPr="00D540D2">
              <w:t>name of person that undertook assessment of individual’s clinical suitability for vaccine</w:t>
            </w:r>
          </w:p>
          <w:p w14:paraId="3D5BA4A4" w14:textId="77777777" w:rsidR="00D540D2" w:rsidRPr="00D540D2" w:rsidRDefault="00D540D2" w:rsidP="00D540D2">
            <w:pPr>
              <w:pStyle w:val="Tablebullet1"/>
              <w:numPr>
                <w:ilvl w:val="0"/>
                <w:numId w:val="22"/>
              </w:numPr>
            </w:pPr>
            <w:r w:rsidRPr="00D540D2">
              <w:t>name of person that administered the vaccine</w:t>
            </w:r>
          </w:p>
          <w:p w14:paraId="7FC7F653" w14:textId="77777777" w:rsidR="00D540D2" w:rsidRPr="00D540D2" w:rsidRDefault="00D540D2" w:rsidP="00D540D2">
            <w:pPr>
              <w:pStyle w:val="Tablebullet1"/>
              <w:numPr>
                <w:ilvl w:val="0"/>
                <w:numId w:val="22"/>
              </w:numPr>
            </w:pPr>
            <w:r w:rsidRPr="00D540D2">
              <w:t>name and brand of vaccine</w:t>
            </w:r>
          </w:p>
          <w:p w14:paraId="3541CAAF" w14:textId="77777777" w:rsidR="00D540D2" w:rsidRPr="00D540D2" w:rsidRDefault="00D540D2" w:rsidP="00D540D2">
            <w:pPr>
              <w:pStyle w:val="Tablebullet1"/>
              <w:numPr>
                <w:ilvl w:val="0"/>
                <w:numId w:val="22"/>
              </w:numPr>
            </w:pPr>
            <w:r w:rsidRPr="00D540D2">
              <w:t>date of administration</w:t>
            </w:r>
          </w:p>
          <w:p w14:paraId="38097138" w14:textId="77777777" w:rsidR="00D540D2" w:rsidRPr="00D540D2" w:rsidRDefault="00D540D2" w:rsidP="00D540D2">
            <w:pPr>
              <w:pStyle w:val="Tablebullet1"/>
              <w:numPr>
                <w:ilvl w:val="0"/>
                <w:numId w:val="22"/>
              </w:numPr>
            </w:pPr>
            <w:r w:rsidRPr="00D540D2">
              <w:t>dose, form and route of administration of vaccine</w:t>
            </w:r>
          </w:p>
          <w:p w14:paraId="5D493C6C" w14:textId="77777777" w:rsidR="00D540D2" w:rsidRPr="00D540D2" w:rsidRDefault="00D540D2" w:rsidP="00D540D2">
            <w:pPr>
              <w:pStyle w:val="Tablebullet1"/>
              <w:numPr>
                <w:ilvl w:val="0"/>
                <w:numId w:val="22"/>
              </w:numPr>
            </w:pPr>
            <w:r w:rsidRPr="00D540D2">
              <w:t>batch number</w:t>
            </w:r>
          </w:p>
          <w:p w14:paraId="5D9FD539" w14:textId="77777777" w:rsidR="00D540D2" w:rsidRPr="00D540D2" w:rsidRDefault="00D540D2" w:rsidP="00D540D2">
            <w:pPr>
              <w:pStyle w:val="Tablebullet1"/>
              <w:numPr>
                <w:ilvl w:val="0"/>
                <w:numId w:val="22"/>
              </w:numPr>
            </w:pPr>
            <w:r w:rsidRPr="00D540D2">
              <w:t>where possible expiry date</w:t>
            </w:r>
          </w:p>
          <w:p w14:paraId="57C3CB50" w14:textId="77777777" w:rsidR="00D540D2" w:rsidRPr="00D540D2" w:rsidRDefault="00D540D2" w:rsidP="00D540D2">
            <w:pPr>
              <w:pStyle w:val="Tablebullet1"/>
              <w:numPr>
                <w:ilvl w:val="0"/>
                <w:numId w:val="22"/>
              </w:numPr>
            </w:pPr>
            <w:r w:rsidRPr="00D540D2">
              <w:t>anatomical site of vaccination</w:t>
            </w:r>
          </w:p>
          <w:p w14:paraId="0D5BB394" w14:textId="77777777" w:rsidR="00D540D2" w:rsidRPr="00D540D2" w:rsidRDefault="00D540D2" w:rsidP="00D540D2">
            <w:pPr>
              <w:pStyle w:val="Tablebullet1"/>
              <w:numPr>
                <w:ilvl w:val="0"/>
                <w:numId w:val="22"/>
              </w:numPr>
            </w:pPr>
            <w:r w:rsidRPr="00D540D2">
              <w:t>advice given, including advice given if excluded or declines immunisation</w:t>
            </w:r>
          </w:p>
          <w:p w14:paraId="1204DD61" w14:textId="77777777" w:rsidR="00D540D2" w:rsidRPr="00D540D2" w:rsidRDefault="00D540D2" w:rsidP="00D540D2">
            <w:pPr>
              <w:pStyle w:val="Tablebullet1"/>
              <w:numPr>
                <w:ilvl w:val="0"/>
                <w:numId w:val="22"/>
              </w:numPr>
            </w:pPr>
            <w:r w:rsidRPr="00D540D2">
              <w:t>details of any adverse drug reactions and actions taken</w:t>
            </w:r>
          </w:p>
          <w:p w14:paraId="5FAD96F2" w14:textId="77777777" w:rsidR="00D540D2" w:rsidRPr="00D540D2" w:rsidRDefault="00D540D2" w:rsidP="00D540D2">
            <w:pPr>
              <w:pStyle w:val="Tablebullet1"/>
              <w:numPr>
                <w:ilvl w:val="0"/>
                <w:numId w:val="22"/>
              </w:numPr>
            </w:pPr>
            <w:r w:rsidRPr="00D540D2">
              <w:t>administered under PGD</w:t>
            </w:r>
          </w:p>
          <w:p w14:paraId="7A96C768" w14:textId="77777777" w:rsidR="00D540D2" w:rsidRPr="00D540D2" w:rsidRDefault="00D540D2" w:rsidP="00D540D2">
            <w:pPr>
              <w:pStyle w:val="Tablebullet1"/>
              <w:numPr>
                <w:ilvl w:val="0"/>
                <w:numId w:val="0"/>
              </w:numPr>
            </w:pPr>
            <w:r w:rsidRPr="00D540D2">
              <w:t>Records should kept line with local procedures. Ideally records should be kept within the NHS Scotland COVID-19 vaccine administration app.</w:t>
            </w:r>
          </w:p>
          <w:p w14:paraId="3CAC991F" w14:textId="77777777" w:rsidR="00D540D2" w:rsidRPr="00D540D2" w:rsidRDefault="00D540D2" w:rsidP="00D540D2">
            <w:pPr>
              <w:pStyle w:val="Tablebullet1"/>
              <w:numPr>
                <w:ilvl w:val="0"/>
                <w:numId w:val="0"/>
              </w:numPr>
            </w:pPr>
            <w:r w:rsidRPr="00D540D2">
              <w:lastRenderedPageBreak/>
              <w:t>Local policy should be followed to encourage information sharing with the individual’s General Practice.</w:t>
            </w:r>
          </w:p>
          <w:p w14:paraId="315B2B00" w14:textId="2C9A25F6" w:rsidR="007C5E0C" w:rsidRDefault="00D540D2" w:rsidP="00D540D2">
            <w:pPr>
              <w:pStyle w:val="Tablebullet1"/>
              <w:numPr>
                <w:ilvl w:val="0"/>
                <w:numId w:val="0"/>
              </w:numPr>
            </w:pPr>
            <w:r w:rsidRPr="00D540D2">
              <w:t>All records should be clear, legible and contemporaneous.</w:t>
            </w:r>
          </w:p>
        </w:tc>
      </w:tr>
    </w:tbl>
    <w:p w14:paraId="2769ABC4" w14:textId="77777777" w:rsidR="007209C7" w:rsidRDefault="007209C7" w:rsidP="00EB4784">
      <w:pPr>
        <w:pStyle w:val="Heading1"/>
      </w:pPr>
    </w:p>
    <w:p w14:paraId="445FBA37" w14:textId="77777777" w:rsidR="007209C7" w:rsidRPr="007209C7" w:rsidRDefault="007209C7" w:rsidP="007209C7"/>
    <w:p w14:paraId="0FC629B1" w14:textId="18E9B542" w:rsidR="00EB4784" w:rsidRDefault="00EB4784" w:rsidP="00EB4784">
      <w:pPr>
        <w:pStyle w:val="Heading1"/>
      </w:pPr>
      <w:bookmarkStart w:id="43" w:name="_Toc60297530"/>
      <w:r>
        <w:t>Additional references</w:t>
      </w:r>
      <w:bookmarkEnd w:id="43"/>
    </w:p>
    <w:tbl>
      <w:tblPr>
        <w:tblStyle w:val="TableGrid"/>
        <w:tblW w:w="0" w:type="auto"/>
        <w:tblLook w:val="04A0" w:firstRow="1" w:lastRow="0" w:firstColumn="1" w:lastColumn="0" w:noHBand="0" w:noVBand="1"/>
      </w:tblPr>
      <w:tblGrid>
        <w:gridCol w:w="2547"/>
        <w:gridCol w:w="7647"/>
      </w:tblGrid>
      <w:tr w:rsidR="00EB4784" w14:paraId="39D52C38" w14:textId="77777777" w:rsidTr="008F3513">
        <w:trPr>
          <w:cnfStyle w:val="100000000000" w:firstRow="1" w:lastRow="0" w:firstColumn="0" w:lastColumn="0" w:oddVBand="0" w:evenVBand="0" w:oddHBand="0" w:evenHBand="0" w:firstRowFirstColumn="0" w:firstRowLastColumn="0" w:lastRowFirstColumn="0" w:lastRowLastColumn="0"/>
          <w:cantSplit/>
        </w:trPr>
        <w:tc>
          <w:tcPr>
            <w:tcW w:w="2547" w:type="dxa"/>
          </w:tcPr>
          <w:p w14:paraId="1D92B5ED" w14:textId="77777777" w:rsidR="00EB4784" w:rsidRDefault="00EB4784" w:rsidP="008F3513">
            <w:pPr>
              <w:pStyle w:val="TableHead"/>
            </w:pPr>
            <w:r>
              <w:t>Name</w:t>
            </w:r>
          </w:p>
        </w:tc>
        <w:tc>
          <w:tcPr>
            <w:tcW w:w="7647" w:type="dxa"/>
          </w:tcPr>
          <w:p w14:paraId="205A0DEE" w14:textId="77777777" w:rsidR="00EB4784" w:rsidRDefault="00EB4784" w:rsidP="008F3513">
            <w:pPr>
              <w:pStyle w:val="TableHead"/>
            </w:pPr>
            <w:r>
              <w:t>Description</w:t>
            </w:r>
          </w:p>
        </w:tc>
      </w:tr>
      <w:tr w:rsidR="00EB4784" w14:paraId="188BE4C6" w14:textId="77777777" w:rsidTr="008F3513">
        <w:tblPrEx>
          <w:tblCellMar>
            <w:top w:w="0" w:type="dxa"/>
            <w:bottom w:w="0" w:type="dxa"/>
          </w:tblCellMar>
        </w:tblPrEx>
        <w:tc>
          <w:tcPr>
            <w:tcW w:w="2547" w:type="dxa"/>
          </w:tcPr>
          <w:p w14:paraId="0EB11AF8" w14:textId="77777777" w:rsidR="00EB4784" w:rsidRPr="007C5E0C" w:rsidRDefault="00EB4784" w:rsidP="008F3513">
            <w:pPr>
              <w:pStyle w:val="TableBody"/>
              <w:rPr>
                <w:b/>
              </w:rPr>
            </w:pPr>
            <w:r w:rsidRPr="007C5E0C">
              <w:rPr>
                <w:b/>
              </w:rPr>
              <w:t>Additional references</w:t>
            </w:r>
          </w:p>
        </w:tc>
        <w:tc>
          <w:tcPr>
            <w:tcW w:w="7647" w:type="dxa"/>
          </w:tcPr>
          <w:p w14:paraId="750ED4A4" w14:textId="77777777" w:rsidR="00BD2CFB" w:rsidRPr="00BD2CFB" w:rsidRDefault="00BD2CFB" w:rsidP="00BD2CFB">
            <w:pPr>
              <w:pStyle w:val="TableBody"/>
              <w:spacing w:before="20" w:after="20"/>
            </w:pPr>
            <w:r w:rsidRPr="00BD2CFB">
              <w:rPr>
                <w:color w:val="auto"/>
              </w:rPr>
              <w:t xml:space="preserve">Immunisation against Infectious Disease [Green Book] </w:t>
            </w:r>
            <w:hyperlink r:id="rId17" w:history="1">
              <w:r w:rsidRPr="00BD2CFB">
                <w:rPr>
                  <w:rStyle w:val="Hyperlink"/>
                </w:rPr>
                <w:t>https://www.gov.uk/government/organisations/public-health-england/series/immunisation-against-infectious-disease-the-green-book</w:t>
              </w:r>
            </w:hyperlink>
          </w:p>
          <w:p w14:paraId="550097B4" w14:textId="77777777" w:rsidR="00BD2CFB" w:rsidRPr="00BD2CFB" w:rsidRDefault="00BD2CFB" w:rsidP="00BD2CFB">
            <w:pPr>
              <w:pStyle w:val="TableBody"/>
              <w:spacing w:before="20" w:after="20"/>
            </w:pPr>
          </w:p>
          <w:p w14:paraId="12C8C59C" w14:textId="77777777" w:rsidR="00BD2CFB" w:rsidRPr="00BD2CFB" w:rsidRDefault="00BD2CFB" w:rsidP="00BD2CFB">
            <w:pPr>
              <w:pStyle w:val="TableBody"/>
              <w:spacing w:before="20" w:after="20"/>
              <w:rPr>
                <w:u w:val="single"/>
              </w:rPr>
            </w:pPr>
            <w:r w:rsidRPr="00BD2CFB">
              <w:rPr>
                <w:color w:val="auto"/>
              </w:rPr>
              <w:t xml:space="preserve">Immunisation against Infectious Disease [Green Book] COVID-19 </w:t>
            </w:r>
            <w:hyperlink r:id="rId18" w:history="1">
              <w:r w:rsidRPr="00BD2CFB">
                <w:rPr>
                  <w:rStyle w:val="Hyperlink"/>
                </w:rPr>
                <w:t>https://www.gov.uk/government/publications/covid-19-the-green-book-chapter-14a</w:t>
              </w:r>
            </w:hyperlink>
          </w:p>
          <w:p w14:paraId="3B51B6C2" w14:textId="77777777" w:rsidR="00BD2CFB" w:rsidRPr="00BD2CFB" w:rsidRDefault="00BD2CFB" w:rsidP="00BD2CFB">
            <w:pPr>
              <w:pStyle w:val="TableBody"/>
              <w:spacing w:before="20" w:after="20"/>
              <w:rPr>
                <w:u w:val="single"/>
              </w:rPr>
            </w:pPr>
          </w:p>
          <w:p w14:paraId="48DCF616" w14:textId="73612584" w:rsidR="00BD2CFB" w:rsidRPr="00BD2CFB" w:rsidRDefault="00BD2CFB" w:rsidP="00BD2CFB">
            <w:pPr>
              <w:pStyle w:val="TableBody"/>
              <w:spacing w:before="20" w:after="20"/>
              <w:rPr>
                <w:color w:val="auto"/>
              </w:rPr>
            </w:pPr>
            <w:r w:rsidRPr="00BD2CFB">
              <w:rPr>
                <w:color w:val="auto"/>
              </w:rPr>
              <w:t xml:space="preserve">JCVI: advice on priority groups for COVID-19 vaccine </w:t>
            </w:r>
            <w:r w:rsidR="000F5591">
              <w:rPr>
                <w:color w:val="auto"/>
              </w:rPr>
              <w:t xml:space="preserve">30 </w:t>
            </w:r>
            <w:r w:rsidRPr="00BD2CFB">
              <w:rPr>
                <w:color w:val="auto"/>
              </w:rPr>
              <w:t>December 2020</w:t>
            </w:r>
          </w:p>
          <w:p w14:paraId="352AC4FE" w14:textId="3D244443" w:rsidR="00BD2CFB" w:rsidRDefault="00EC5B51" w:rsidP="00BD2CFB">
            <w:pPr>
              <w:pStyle w:val="TableBody"/>
              <w:spacing w:before="20" w:after="20"/>
            </w:pPr>
            <w:hyperlink r:id="rId19" w:history="1">
              <w:r w:rsidR="000F5591" w:rsidRPr="007E0CDB">
                <w:rPr>
                  <w:rStyle w:val="Hyperlink"/>
                </w:rPr>
                <w:t>https://www.gov.uk/government/publications/priority-groups-for-coronavirus-covid-19-vaccination-advice-from-the-jcvi-30-december-2020</w:t>
              </w:r>
            </w:hyperlink>
          </w:p>
          <w:p w14:paraId="228D74AB" w14:textId="77777777" w:rsidR="000F5591" w:rsidRPr="00BD2CFB" w:rsidRDefault="000F5591" w:rsidP="00BD2CFB">
            <w:pPr>
              <w:pStyle w:val="TableBody"/>
              <w:spacing w:before="20" w:after="20"/>
            </w:pPr>
          </w:p>
          <w:p w14:paraId="44D4206F" w14:textId="07FE0044" w:rsidR="00BD2CFB" w:rsidRDefault="00BD2CFB" w:rsidP="00BD2CFB">
            <w:pPr>
              <w:pStyle w:val="TableBody"/>
              <w:spacing w:before="20" w:after="20"/>
              <w:rPr>
                <w:color w:val="auto"/>
              </w:rPr>
            </w:pPr>
            <w:r w:rsidRPr="00BD2CFB">
              <w:rPr>
                <w:color w:val="auto"/>
              </w:rPr>
              <w:t>Manufacturer’s product information/ Summary of Product Characteristics</w:t>
            </w:r>
            <w:r w:rsidR="00B0212D">
              <w:rPr>
                <w:color w:val="auto"/>
              </w:rPr>
              <w:t xml:space="preserve"> </w:t>
            </w:r>
          </w:p>
          <w:p w14:paraId="34812B78" w14:textId="1CEC038C" w:rsidR="00B0212D" w:rsidRDefault="00EC5B51" w:rsidP="00BD2CFB">
            <w:pPr>
              <w:pStyle w:val="TableBody"/>
              <w:spacing w:before="20" w:after="20"/>
              <w:rPr>
                <w:color w:val="auto"/>
              </w:rPr>
            </w:pPr>
            <w:hyperlink r:id="rId20" w:history="1">
              <w:r w:rsidR="000F5591" w:rsidRPr="007E0CDB">
                <w:rPr>
                  <w:rStyle w:val="Hyperlink"/>
                </w:rPr>
                <w:t>https://www.gov.uk/government/publications/regulatory-approval-of-covid-19-vaccine-astrazeneca</w:t>
              </w:r>
            </w:hyperlink>
          </w:p>
          <w:p w14:paraId="26306494" w14:textId="77777777" w:rsidR="000F5591" w:rsidRPr="00BD2CFB" w:rsidRDefault="000F5591" w:rsidP="00BD2CFB">
            <w:pPr>
              <w:pStyle w:val="TableBody"/>
              <w:spacing w:before="20" w:after="20"/>
              <w:rPr>
                <w:color w:val="auto"/>
              </w:rPr>
            </w:pPr>
          </w:p>
          <w:p w14:paraId="5DC56D41" w14:textId="4E0B3D57" w:rsidR="00BD2CFB" w:rsidRPr="00BD2CFB" w:rsidRDefault="00BD2CFB" w:rsidP="00BD2CFB">
            <w:pPr>
              <w:pStyle w:val="TableBody"/>
              <w:spacing w:before="20" w:after="20"/>
              <w:rPr>
                <w:color w:val="auto"/>
              </w:rPr>
            </w:pPr>
            <w:r w:rsidRPr="00BD2CFB">
              <w:rPr>
                <w:color w:val="auto"/>
              </w:rPr>
              <w:t xml:space="preserve">Educational resources for registered professionals produced by National Education for Scotland </w:t>
            </w:r>
          </w:p>
          <w:p w14:paraId="79FD3073" w14:textId="77777777" w:rsidR="00BD2CFB" w:rsidRPr="00BD2CFB" w:rsidRDefault="00EC5B51" w:rsidP="00BD2CFB">
            <w:pPr>
              <w:pStyle w:val="TableBody"/>
              <w:spacing w:before="20" w:after="20"/>
            </w:pPr>
            <w:hyperlink r:id="rId21" w:history="1">
              <w:r w:rsidR="00BD2CFB" w:rsidRPr="00BD2CFB">
                <w:rPr>
                  <w:rStyle w:val="Hyperlink"/>
                </w:rPr>
                <w:t>https://learn.nes.nhs.scot/37676/immunisation/covid-19-vaccines</w:t>
              </w:r>
            </w:hyperlink>
          </w:p>
          <w:p w14:paraId="0138A3D1" w14:textId="77777777" w:rsidR="00BD2CFB" w:rsidRPr="00BD2CFB" w:rsidRDefault="00BD2CFB" w:rsidP="00BD2CFB">
            <w:pPr>
              <w:pStyle w:val="TableBody"/>
              <w:spacing w:before="20" w:after="20"/>
            </w:pPr>
          </w:p>
          <w:p w14:paraId="6E2EE81F" w14:textId="74F13C19" w:rsidR="00EB4784" w:rsidRDefault="00BD2CFB" w:rsidP="00BD2CFB">
            <w:pPr>
              <w:pStyle w:val="TableBody"/>
              <w:spacing w:before="20" w:after="20"/>
            </w:pPr>
            <w:r w:rsidRPr="00BD2CFB">
              <w:rPr>
                <w:color w:val="auto"/>
              </w:rPr>
              <w:t>All relevant Scottish Government advice including the relevant CMO letter(s)</w:t>
            </w:r>
          </w:p>
        </w:tc>
      </w:tr>
    </w:tbl>
    <w:p w14:paraId="5A6A3DBD" w14:textId="77777777" w:rsidR="00B47942" w:rsidRDefault="00B47942">
      <w:pPr>
        <w:spacing w:after="160" w:line="259" w:lineRule="auto"/>
        <w:rPr>
          <w:rFonts w:eastAsiaTheme="majorEastAsia" w:cstheme="majorBidi"/>
          <w:b/>
          <w:color w:val="43358B"/>
          <w:sz w:val="36"/>
          <w:szCs w:val="36"/>
        </w:rPr>
      </w:pPr>
      <w:bookmarkStart w:id="44" w:name="_Toc57105457"/>
      <w:r>
        <w:lastRenderedPageBreak/>
        <w:br w:type="page"/>
      </w:r>
    </w:p>
    <w:p w14:paraId="1F1FDC29" w14:textId="14661855" w:rsidR="00B47942" w:rsidRPr="00B47942" w:rsidRDefault="00B47942" w:rsidP="00D76AFA">
      <w:pPr>
        <w:pStyle w:val="Heading1"/>
      </w:pPr>
      <w:bookmarkStart w:id="45" w:name="_Toc60297531"/>
      <w:r w:rsidRPr="00B47942">
        <w:lastRenderedPageBreak/>
        <w:t xml:space="preserve">PGD for administration of </w:t>
      </w:r>
      <w:bookmarkEnd w:id="44"/>
      <w:r w:rsidR="00DE5B0A">
        <w:t xml:space="preserve">AstraZeneca COVID-19 Vaccine (ChAdOx1-S [Recombinant]) </w:t>
      </w:r>
      <w:r w:rsidR="00BD2CFB" w:rsidRPr="00BD2CFB">
        <w:t>PGD</w:t>
      </w:r>
      <w:r w:rsidR="008B14A9">
        <w:t xml:space="preserve"> v1</w:t>
      </w:r>
      <w:r w:rsidR="00BD2CFB" w:rsidRPr="00BD2CFB">
        <w:t>.</w:t>
      </w:r>
      <w:r w:rsidR="0031525A">
        <w:t>0</w:t>
      </w:r>
      <w:r w:rsidR="008928D8">
        <w:t xml:space="preserve"> Valid from: 3</w:t>
      </w:r>
      <w:r w:rsidR="0031525A">
        <w:t>1</w:t>
      </w:r>
      <w:r w:rsidR="00BD2CFB" w:rsidRPr="00BD2CFB">
        <w:t>/12/2020 Expiry: 30/11/2021</w:t>
      </w:r>
      <w:r w:rsidR="00BD2CFB">
        <w:t xml:space="preserve"> </w:t>
      </w:r>
      <w:r w:rsidR="00D76AFA">
        <w:t>- authorisation</w:t>
      </w:r>
      <w:bookmarkEnd w:id="45"/>
    </w:p>
    <w:p w14:paraId="4552D447" w14:textId="356D26CD" w:rsidR="007209C7" w:rsidRPr="007209C7" w:rsidRDefault="007209C7" w:rsidP="007209C7">
      <w:pPr>
        <w:pStyle w:val="Heading3"/>
      </w:pPr>
      <w:r>
        <w:t>Practitioner</w:t>
      </w:r>
    </w:p>
    <w:p w14:paraId="244DDD8C" w14:textId="77777777" w:rsidR="00B47942" w:rsidRDefault="00B47942" w:rsidP="00B47942">
      <w:r w:rsidRPr="00B47942">
        <w:t>This PGD does not remove professional obligations and accountability. It is the responsibility of each professional to practice within the bounds of their own competence and in accordance with their Code of Professional Conduct and to ensure familiarity with the marketing authorisation holder’s summary of product characteristics for all vaccines administered in accordance with this PGD.</w:t>
      </w:r>
    </w:p>
    <w:p w14:paraId="6F928D95" w14:textId="477FD09D" w:rsidR="00B47942" w:rsidRPr="00B47942" w:rsidRDefault="007209C7" w:rsidP="007209C7">
      <w:r w:rsidRPr="007209C7">
        <w:t xml:space="preserve">By signing this </w:t>
      </w:r>
      <w:r w:rsidR="00184D66">
        <w:t>PGD</w:t>
      </w:r>
      <w:r w:rsidRPr="007209C7">
        <w:t xml:space="preserve"> you are indicating that you agree to its contents and that you will work within it.</w:t>
      </w:r>
      <w:r>
        <w:t xml:space="preserve"> </w:t>
      </w:r>
      <w:r w:rsidR="00B47942" w:rsidRPr="00B47942">
        <w:t>I agree to administer</w:t>
      </w:r>
      <w:r>
        <w:t xml:space="preserve"> </w:t>
      </w:r>
      <w:r w:rsidR="00DE5B0A">
        <w:t xml:space="preserve">AstraZeneca COVID-19 Vaccine (ChAdOx1-S [Recombinant]) </w:t>
      </w:r>
      <w:r w:rsidR="00B47942" w:rsidRPr="00B47942">
        <w:t>only in accordance with this PGD.</w:t>
      </w:r>
    </w:p>
    <w:tbl>
      <w:tblPr>
        <w:tblStyle w:val="TableGrid"/>
        <w:tblW w:w="0" w:type="auto"/>
        <w:tblLook w:val="04A0" w:firstRow="1" w:lastRow="0" w:firstColumn="1" w:lastColumn="0" w:noHBand="0" w:noVBand="1"/>
      </w:tblPr>
      <w:tblGrid>
        <w:gridCol w:w="3964"/>
        <w:gridCol w:w="3828"/>
        <w:gridCol w:w="2402"/>
      </w:tblGrid>
      <w:tr w:rsidR="00B47942" w:rsidRPr="00B47942" w14:paraId="2D43FA41" w14:textId="77777777" w:rsidTr="002042A0">
        <w:trPr>
          <w:cnfStyle w:val="100000000000" w:firstRow="1" w:lastRow="0" w:firstColumn="0" w:lastColumn="0" w:oddVBand="0" w:evenVBand="0" w:oddHBand="0" w:evenHBand="0" w:firstRowFirstColumn="0" w:firstRowLastColumn="0" w:lastRowFirstColumn="0" w:lastRowLastColumn="0"/>
        </w:trPr>
        <w:tc>
          <w:tcPr>
            <w:tcW w:w="3964" w:type="dxa"/>
          </w:tcPr>
          <w:p w14:paraId="644E853D" w14:textId="77777777" w:rsidR="00B47942" w:rsidRPr="00B47942" w:rsidRDefault="00B47942" w:rsidP="00B47942">
            <w:pPr>
              <w:pStyle w:val="TableHead"/>
            </w:pPr>
            <w:r w:rsidRPr="00B47942">
              <w:t>Name of professional</w:t>
            </w:r>
          </w:p>
        </w:tc>
        <w:tc>
          <w:tcPr>
            <w:tcW w:w="3828" w:type="dxa"/>
          </w:tcPr>
          <w:p w14:paraId="335A5598" w14:textId="77777777" w:rsidR="00B47942" w:rsidRPr="00B47942" w:rsidRDefault="00B47942" w:rsidP="00B47942">
            <w:pPr>
              <w:pStyle w:val="TableHead"/>
            </w:pPr>
            <w:r w:rsidRPr="00B47942">
              <w:t>Signature</w:t>
            </w:r>
          </w:p>
        </w:tc>
        <w:tc>
          <w:tcPr>
            <w:tcW w:w="2402" w:type="dxa"/>
          </w:tcPr>
          <w:p w14:paraId="2B92794B" w14:textId="77777777" w:rsidR="00B47942" w:rsidRPr="00B47942" w:rsidRDefault="00B47942" w:rsidP="00B47942">
            <w:pPr>
              <w:pStyle w:val="TableHead"/>
            </w:pPr>
            <w:r w:rsidRPr="00B47942">
              <w:t>Date</w:t>
            </w:r>
          </w:p>
        </w:tc>
      </w:tr>
      <w:tr w:rsidR="00B47942" w:rsidRPr="00B47942" w14:paraId="3C1D19A4" w14:textId="77777777" w:rsidTr="002042A0">
        <w:tblPrEx>
          <w:tblCellMar>
            <w:top w:w="0" w:type="dxa"/>
            <w:bottom w:w="0" w:type="dxa"/>
          </w:tblCellMar>
        </w:tblPrEx>
        <w:tc>
          <w:tcPr>
            <w:tcW w:w="3964" w:type="dxa"/>
          </w:tcPr>
          <w:p w14:paraId="0A21D62C" w14:textId="0336008C" w:rsidR="00B47942" w:rsidRPr="00B47942" w:rsidRDefault="00B47942" w:rsidP="00B47942">
            <w:pPr>
              <w:pStyle w:val="TableBody"/>
            </w:pPr>
          </w:p>
        </w:tc>
        <w:tc>
          <w:tcPr>
            <w:tcW w:w="3828" w:type="dxa"/>
          </w:tcPr>
          <w:p w14:paraId="4F2217C5" w14:textId="77777777" w:rsidR="00B47942" w:rsidRPr="00B47942" w:rsidRDefault="00B47942" w:rsidP="00B47942">
            <w:pPr>
              <w:pStyle w:val="TableBody"/>
            </w:pPr>
          </w:p>
        </w:tc>
        <w:tc>
          <w:tcPr>
            <w:tcW w:w="2402" w:type="dxa"/>
          </w:tcPr>
          <w:p w14:paraId="69F6CCD6" w14:textId="77777777" w:rsidR="00B47942" w:rsidRPr="00B47942" w:rsidRDefault="00B47942" w:rsidP="00B47942">
            <w:pPr>
              <w:pStyle w:val="TableBody"/>
            </w:pPr>
          </w:p>
        </w:tc>
      </w:tr>
      <w:tr w:rsidR="00B47942" w:rsidRPr="00B47942" w14:paraId="7A586265" w14:textId="77777777" w:rsidTr="002042A0">
        <w:tblPrEx>
          <w:tblCellMar>
            <w:top w:w="0" w:type="dxa"/>
            <w:bottom w:w="0" w:type="dxa"/>
          </w:tblCellMar>
        </w:tblPrEx>
        <w:tc>
          <w:tcPr>
            <w:tcW w:w="3964" w:type="dxa"/>
          </w:tcPr>
          <w:p w14:paraId="58AD3183" w14:textId="47319D86" w:rsidR="00B47942" w:rsidRPr="00B47942" w:rsidRDefault="00B47942" w:rsidP="00B47942">
            <w:pPr>
              <w:pStyle w:val="TableBody"/>
            </w:pPr>
          </w:p>
        </w:tc>
        <w:tc>
          <w:tcPr>
            <w:tcW w:w="3828" w:type="dxa"/>
          </w:tcPr>
          <w:p w14:paraId="07514A61" w14:textId="77777777" w:rsidR="00B47942" w:rsidRPr="00B47942" w:rsidRDefault="00B47942" w:rsidP="00B47942">
            <w:pPr>
              <w:pStyle w:val="TableBody"/>
            </w:pPr>
          </w:p>
        </w:tc>
        <w:tc>
          <w:tcPr>
            <w:tcW w:w="2402" w:type="dxa"/>
          </w:tcPr>
          <w:p w14:paraId="549F3245" w14:textId="77777777" w:rsidR="00B47942" w:rsidRPr="00B47942" w:rsidRDefault="00B47942" w:rsidP="00B47942">
            <w:pPr>
              <w:pStyle w:val="TableBody"/>
            </w:pPr>
          </w:p>
        </w:tc>
      </w:tr>
      <w:tr w:rsidR="00B47942" w:rsidRPr="00B47942" w14:paraId="042540D7" w14:textId="77777777" w:rsidTr="002042A0">
        <w:tblPrEx>
          <w:tblCellMar>
            <w:top w:w="0" w:type="dxa"/>
            <w:bottom w:w="0" w:type="dxa"/>
          </w:tblCellMar>
        </w:tblPrEx>
        <w:tc>
          <w:tcPr>
            <w:tcW w:w="3964" w:type="dxa"/>
          </w:tcPr>
          <w:p w14:paraId="0EEA9240" w14:textId="42E8C7DB" w:rsidR="00B47942" w:rsidRPr="00B47942" w:rsidRDefault="00B47942" w:rsidP="00B47942">
            <w:pPr>
              <w:pStyle w:val="TableBody"/>
            </w:pPr>
          </w:p>
        </w:tc>
        <w:tc>
          <w:tcPr>
            <w:tcW w:w="3828" w:type="dxa"/>
          </w:tcPr>
          <w:p w14:paraId="57F95626" w14:textId="77777777" w:rsidR="00B47942" w:rsidRPr="00B47942" w:rsidRDefault="00B47942" w:rsidP="00B47942">
            <w:pPr>
              <w:pStyle w:val="TableBody"/>
            </w:pPr>
          </w:p>
        </w:tc>
        <w:tc>
          <w:tcPr>
            <w:tcW w:w="2402" w:type="dxa"/>
          </w:tcPr>
          <w:p w14:paraId="136AD2CA" w14:textId="77777777" w:rsidR="00B47942" w:rsidRPr="00B47942" w:rsidRDefault="00B47942" w:rsidP="00B47942">
            <w:pPr>
              <w:pStyle w:val="TableBody"/>
            </w:pPr>
          </w:p>
        </w:tc>
      </w:tr>
      <w:tr w:rsidR="003C44B0" w:rsidRPr="00B47942" w14:paraId="3414C305" w14:textId="77777777" w:rsidTr="002042A0">
        <w:tblPrEx>
          <w:tblCellMar>
            <w:top w:w="0" w:type="dxa"/>
            <w:bottom w:w="0" w:type="dxa"/>
          </w:tblCellMar>
        </w:tblPrEx>
        <w:tc>
          <w:tcPr>
            <w:tcW w:w="3964" w:type="dxa"/>
          </w:tcPr>
          <w:p w14:paraId="5D7767F2" w14:textId="77777777" w:rsidR="003C44B0" w:rsidRPr="00B47942" w:rsidRDefault="003C44B0" w:rsidP="00B47942">
            <w:pPr>
              <w:pStyle w:val="TableBody"/>
            </w:pPr>
          </w:p>
        </w:tc>
        <w:tc>
          <w:tcPr>
            <w:tcW w:w="3828" w:type="dxa"/>
          </w:tcPr>
          <w:p w14:paraId="48DB8648" w14:textId="77777777" w:rsidR="003C44B0" w:rsidRPr="00B47942" w:rsidRDefault="003C44B0" w:rsidP="00B47942">
            <w:pPr>
              <w:pStyle w:val="TableBody"/>
            </w:pPr>
          </w:p>
        </w:tc>
        <w:tc>
          <w:tcPr>
            <w:tcW w:w="2402" w:type="dxa"/>
          </w:tcPr>
          <w:p w14:paraId="28BB4A0E" w14:textId="77777777" w:rsidR="003C44B0" w:rsidRPr="00B47942" w:rsidRDefault="003C44B0" w:rsidP="00B47942">
            <w:pPr>
              <w:pStyle w:val="TableBody"/>
            </w:pPr>
          </w:p>
        </w:tc>
      </w:tr>
    </w:tbl>
    <w:p w14:paraId="177F0089" w14:textId="77F10CB6" w:rsidR="007209C7" w:rsidRPr="007209C7" w:rsidRDefault="007209C7" w:rsidP="007209C7">
      <w:pPr>
        <w:pStyle w:val="Heading3"/>
      </w:pPr>
      <w:r>
        <w:lastRenderedPageBreak/>
        <w:t>A</w:t>
      </w:r>
      <w:r w:rsidRPr="007209C7">
        <w:t xml:space="preserve">uthorising </w:t>
      </w:r>
      <w:r w:rsidR="00662827">
        <w:t>M</w:t>
      </w:r>
      <w:r w:rsidRPr="007209C7">
        <w:t>anager</w:t>
      </w:r>
    </w:p>
    <w:p w14:paraId="7A4EF6C2" w14:textId="473B0937" w:rsidR="00B47942" w:rsidRPr="00B47942" w:rsidRDefault="00B47942" w:rsidP="00B47942">
      <w:r w:rsidRPr="00B47942">
        <w:t xml:space="preserve">I </w:t>
      </w:r>
      <w:r w:rsidR="003C44B0">
        <w:t xml:space="preserve">confirm that the practitioners named above have declared themselves suitably trained and competent to work under this PGD. I give authorisation on behalf of </w:t>
      </w:r>
      <w:r w:rsidR="007209C7" w:rsidRPr="007209C7">
        <w:rPr>
          <w:b/>
          <w:color w:val="767171" w:themeColor="background2" w:themeShade="80"/>
        </w:rPr>
        <w:t>[insert name of</w:t>
      </w:r>
      <w:r w:rsidR="007209C7">
        <w:rPr>
          <w:b/>
          <w:color w:val="767171" w:themeColor="background2" w:themeShade="80"/>
        </w:rPr>
        <w:t xml:space="preserve"> </w:t>
      </w:r>
      <w:r w:rsidR="007209C7" w:rsidRPr="007209C7">
        <w:rPr>
          <w:b/>
          <w:color w:val="767171" w:themeColor="background2" w:themeShade="80"/>
        </w:rPr>
        <w:t>organisation]</w:t>
      </w:r>
      <w:r w:rsidR="003C44B0">
        <w:rPr>
          <w:b/>
          <w:color w:val="767171" w:themeColor="background2" w:themeShade="80"/>
        </w:rPr>
        <w:t xml:space="preserve"> </w:t>
      </w:r>
      <w:r w:rsidR="003C44B0" w:rsidRPr="003C44B0">
        <w:t>for the</w:t>
      </w:r>
      <w:r w:rsidR="003C44B0">
        <w:t xml:space="preserve"> above named health care </w:t>
      </w:r>
      <w:r w:rsidR="00F66EE3">
        <w:t>professionals</w:t>
      </w:r>
      <w:r w:rsidR="003C44B0">
        <w:t xml:space="preserve"> who have signed the PGD to work under it.</w:t>
      </w:r>
    </w:p>
    <w:p w14:paraId="12D01662" w14:textId="25BA859A" w:rsidR="00B47942" w:rsidRPr="00B47942" w:rsidRDefault="00B47942" w:rsidP="00B47942">
      <w:r w:rsidRPr="00B47942">
        <w:t xml:space="preserve">Lead clinician for the service area </w:t>
      </w:r>
    </w:p>
    <w:p w14:paraId="53F759CF" w14:textId="67949172" w:rsidR="00B47942" w:rsidRPr="004A63A0" w:rsidRDefault="004A63A0" w:rsidP="00B47942">
      <w:r>
        <w:rPr>
          <w:b/>
        </w:rPr>
        <w:t>Name</w:t>
      </w:r>
      <w:r>
        <w:t xml:space="preserve"> ……………………………………………………..</w:t>
      </w:r>
    </w:p>
    <w:p w14:paraId="533D3A7B" w14:textId="31CCF57A" w:rsidR="00B47942" w:rsidRPr="004A63A0" w:rsidRDefault="004A63A0" w:rsidP="00B47942">
      <w:r>
        <w:rPr>
          <w:b/>
        </w:rPr>
        <w:t xml:space="preserve">Signature </w:t>
      </w:r>
      <w:r>
        <w:t>………………………………………………..</w:t>
      </w:r>
    </w:p>
    <w:p w14:paraId="7FAA3B51" w14:textId="6F395A4F" w:rsidR="00B47942" w:rsidRDefault="004A63A0" w:rsidP="005A014C">
      <w:r>
        <w:rPr>
          <w:b/>
        </w:rPr>
        <w:t xml:space="preserve">Date </w:t>
      </w:r>
      <w:r>
        <w:t>………………………………………………………</w:t>
      </w:r>
    </w:p>
    <w:p w14:paraId="1F1DA1B7" w14:textId="1B8A58AE" w:rsidR="007209C7" w:rsidRPr="004A63A0" w:rsidRDefault="007209C7" w:rsidP="005A014C">
      <w:r w:rsidRPr="007209C7">
        <w:t>Authorised staff should be provided with an individual copy of the clinical content of the PGD and a photocopy of the document showing their authorisation.</w:t>
      </w:r>
      <w:r w:rsidRPr="007209C7">
        <w:rPr>
          <w:rFonts w:eastAsia="Times New Roman" w:cs="Times New Roman"/>
          <w:szCs w:val="24"/>
          <w:lang w:eastAsia="en-GB"/>
        </w:rPr>
        <w:t xml:space="preserve"> </w:t>
      </w:r>
      <w:r w:rsidRPr="007209C7">
        <w:t>This authorisation sheet should be retained to serve as a record of those practitioners authorised to work under this PGD.</w:t>
      </w:r>
    </w:p>
    <w:sectPr w:rsidR="007209C7" w:rsidRPr="004A63A0" w:rsidSect="002E74A8">
      <w:headerReference w:type="default" r:id="rId22"/>
      <w:headerReference w:type="first" r:id="rId23"/>
      <w:pgSz w:w="11906" w:h="16838"/>
      <w:pgMar w:top="1021" w:right="851" w:bottom="102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F7759" w14:textId="77777777" w:rsidR="00A71D8F" w:rsidRDefault="00A71D8F" w:rsidP="005E3548">
      <w:r>
        <w:separator/>
      </w:r>
    </w:p>
    <w:p w14:paraId="0DE25B5D" w14:textId="77777777" w:rsidR="00A71D8F" w:rsidRDefault="00A71D8F" w:rsidP="005E3548"/>
  </w:endnote>
  <w:endnote w:type="continuationSeparator" w:id="0">
    <w:p w14:paraId="5384E77D" w14:textId="77777777" w:rsidR="00A71D8F" w:rsidRDefault="00A71D8F" w:rsidP="005E3548">
      <w:r>
        <w:continuationSeparator/>
      </w:r>
    </w:p>
    <w:p w14:paraId="2CB198AD" w14:textId="77777777" w:rsidR="00A71D8F" w:rsidRDefault="00A71D8F" w:rsidP="005E3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395953"/>
      <w:docPartObj>
        <w:docPartGallery w:val="Page Numbers (Bottom of Page)"/>
        <w:docPartUnique/>
      </w:docPartObj>
    </w:sdtPr>
    <w:sdtEndPr>
      <w:rPr>
        <w:noProof/>
      </w:rPr>
    </w:sdtEndPr>
    <w:sdtContent>
      <w:p w14:paraId="53020F1A" w14:textId="138BBAF2" w:rsidR="009D5B72" w:rsidRDefault="009D5B72" w:rsidP="009D5B72">
        <w:pPr>
          <w:pStyle w:val="Pagenumbers"/>
        </w:pPr>
        <w:r>
          <w:fldChar w:fldCharType="begin"/>
        </w:r>
        <w:r>
          <w:instrText xml:space="preserve"> PAGE   \* MERGEFORMAT </w:instrText>
        </w:r>
        <w:r>
          <w:fldChar w:fldCharType="separate"/>
        </w:r>
        <w:r w:rsidR="00EC5B51">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5432" w14:textId="458D55E9" w:rsidR="00D35B5F" w:rsidRDefault="004545E2" w:rsidP="00EB4784">
    <w:pPr>
      <w:pStyle w:val="Coverfooter"/>
      <w:spacing w:before="0"/>
      <w:jc w:val="left"/>
    </w:pPr>
    <w:r>
      <w:rPr>
        <w:noProof/>
        <w:lang w:eastAsia="en-GB"/>
      </w:rPr>
      <mc:AlternateContent>
        <mc:Choice Requires="wps">
          <w:drawing>
            <wp:anchor distT="0" distB="0" distL="114300" distR="114300" simplePos="0" relativeHeight="251678720" behindDoc="1" locked="0" layoutInCell="1" allowOverlap="1" wp14:anchorId="4B686E5B" wp14:editId="75ACB81B">
              <wp:simplePos x="0" y="0"/>
              <wp:positionH relativeFrom="margin">
                <wp:posOffset>-810260</wp:posOffset>
              </wp:positionH>
              <wp:positionV relativeFrom="paragraph">
                <wp:posOffset>-271145</wp:posOffset>
              </wp:positionV>
              <wp:extent cx="8100060" cy="71755"/>
              <wp:effectExtent l="0" t="0" r="0" b="4445"/>
              <wp:wrapNone/>
              <wp:docPr id="14" name="Rectangle 14" descr="&quot;&quot;">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00060" cy="71755"/>
                      </a:xfrm>
                      <a:prstGeom prst="rect">
                        <a:avLst/>
                      </a:prstGeom>
                      <a:solidFill>
                        <a:srgbClr val="9640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ACBF76" id="Rectangle 14" o:spid="_x0000_s1026" alt="&quot;&quot;" style="position:absolute;margin-left:-63.8pt;margin-top:-21.35pt;width:637.8pt;height:5.6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" fillcolor="#964091" stroked="f" strokeweight="1pt">
              <w10:wrap anchorx="margin"/>
            </v:rect>
          </w:pict>
        </mc:Fallback>
      </mc:AlternateContent>
    </w:r>
    <w:r>
      <w:rPr>
        <w:noProof/>
        <w:lang w:eastAsia="en-GB"/>
      </w:rPr>
      <mc:AlternateContent>
        <mc:Choice Requires="wps">
          <w:drawing>
            <wp:anchor distT="0" distB="0" distL="114300" distR="114300" simplePos="0" relativeHeight="251677696" behindDoc="1" locked="0" layoutInCell="1" allowOverlap="1" wp14:anchorId="413CE0CE" wp14:editId="10704C3D">
              <wp:simplePos x="0" y="0"/>
              <wp:positionH relativeFrom="page">
                <wp:posOffset>0</wp:posOffset>
              </wp:positionH>
              <wp:positionV relativeFrom="paragraph">
                <wp:posOffset>-196215</wp:posOffset>
              </wp:positionV>
              <wp:extent cx="7680960" cy="1259840"/>
              <wp:effectExtent l="0" t="0" r="0" b="0"/>
              <wp:wrapNone/>
              <wp:docPr id="13" name="Rectangle 13" descr="&quot;&quot;">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80960" cy="1259840"/>
                      </a:xfrm>
                      <a:prstGeom prst="rect">
                        <a:avLst/>
                      </a:prstGeom>
                      <a:solidFill>
                        <a:srgbClr val="4335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43D010" id="Rectangle 13" o:spid="_x0000_s1026" alt="&quot;&quot;" style="position:absolute;margin-left:0;margin-top:-15.45pt;width:604.8pt;height:99.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" fillcolor="#43358b" stroked="f" strokeweight="1pt">
              <w10:wrap anchorx="page"/>
            </v:rect>
          </w:pict>
        </mc:Fallback>
      </mc:AlternateContent>
    </w:r>
    <w:r w:rsidR="00FD5935">
      <w:t xml:space="preserve">Version </w:t>
    </w:r>
    <w:r w:rsidR="000B7D15">
      <w:t>1</w:t>
    </w:r>
    <w:r w:rsidR="00DF2D0C">
      <w:t>.</w:t>
    </w:r>
    <w:r w:rsidR="00BF234F">
      <w:t>0</w:t>
    </w:r>
  </w:p>
  <w:p w14:paraId="1B2B2080" w14:textId="1725D57C" w:rsidR="000B7D15" w:rsidRDefault="00EB4784" w:rsidP="00EB4784">
    <w:pPr>
      <w:pStyle w:val="Coverfooter"/>
      <w:spacing w:before="0"/>
      <w:jc w:val="left"/>
    </w:pPr>
    <w:r w:rsidRPr="00EB4784">
      <w:t xml:space="preserve">Effective from: </w:t>
    </w:r>
    <w:r w:rsidR="001A2346">
      <w:t>31</w:t>
    </w:r>
    <w:r w:rsidR="0019685F">
      <w:t xml:space="preserve"> </w:t>
    </w:r>
    <w:r w:rsidR="000B7D15">
      <w:t>December 2020</w:t>
    </w:r>
  </w:p>
  <w:p w14:paraId="2F7016FC" w14:textId="0C3AE3A6" w:rsidR="00EB4784" w:rsidRDefault="00EB4784" w:rsidP="00EB4784">
    <w:pPr>
      <w:pStyle w:val="Coverfooter"/>
      <w:spacing w:before="0"/>
      <w:jc w:val="left"/>
    </w:pPr>
    <w:r w:rsidRPr="00EB4784">
      <w:t xml:space="preserve">Review date: </w:t>
    </w:r>
    <w:r w:rsidR="00E27A0C">
      <w:t>3</w:t>
    </w:r>
    <w:r w:rsidR="002700AB">
      <w:t>0</w:t>
    </w:r>
    <w:r w:rsidR="00DF2D0C">
      <w:t xml:space="preserve"> </w:t>
    </w:r>
    <w:r w:rsidR="00E27A0C">
      <w:t>November</w:t>
    </w:r>
    <w:r w:rsidR="00DF2D0C">
      <w:t xml:space="preserve"> </w:t>
    </w:r>
    <w:r w:rsidR="000B7D15">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7D8AE" w14:textId="77777777" w:rsidR="00A71D8F" w:rsidRDefault="00A71D8F" w:rsidP="005E3548">
      <w:r>
        <w:separator/>
      </w:r>
    </w:p>
    <w:p w14:paraId="68405324" w14:textId="77777777" w:rsidR="00A71D8F" w:rsidRDefault="00A71D8F" w:rsidP="005E3548"/>
  </w:footnote>
  <w:footnote w:type="continuationSeparator" w:id="0">
    <w:p w14:paraId="6CF4A136" w14:textId="77777777" w:rsidR="00A71D8F" w:rsidRDefault="00A71D8F" w:rsidP="005E3548">
      <w:r>
        <w:continuationSeparator/>
      </w:r>
    </w:p>
    <w:p w14:paraId="7FD97C64" w14:textId="77777777" w:rsidR="00A71D8F" w:rsidRDefault="00A71D8F" w:rsidP="005E35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1EF22" w14:textId="758D1734" w:rsidR="0006090C" w:rsidRPr="0040598E" w:rsidRDefault="0040598E" w:rsidP="0040598E">
    <w:pPr>
      <w:pStyle w:val="Header"/>
    </w:pPr>
    <w:r>
      <w:rPr>
        <w:noProof/>
        <w:lang w:eastAsia="en-GB"/>
      </w:rPr>
      <w:drawing>
        <wp:anchor distT="0" distB="0" distL="114300" distR="114300" simplePos="0" relativeHeight="251675648" behindDoc="0" locked="0" layoutInCell="1" allowOverlap="1" wp14:anchorId="45874EA7" wp14:editId="5470760B">
          <wp:simplePos x="0" y="0"/>
          <wp:positionH relativeFrom="margin">
            <wp:posOffset>4590415</wp:posOffset>
          </wp:positionH>
          <wp:positionV relativeFrom="page">
            <wp:posOffset>476250</wp:posOffset>
          </wp:positionV>
          <wp:extent cx="1990725" cy="720090"/>
          <wp:effectExtent l="0" t="0" r="9525" b="3810"/>
          <wp:wrapSquare wrapText="bothSides"/>
          <wp:docPr id="7" name="Picture 7" descr="Public Health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blic Health Scot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200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96C87" w14:textId="77777777" w:rsidR="00973346" w:rsidRDefault="009733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2DFB7" w14:textId="2FFCC87D" w:rsidR="00B47942" w:rsidRPr="00A77F7E" w:rsidRDefault="00B47942" w:rsidP="00A77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2621"/>
    <w:multiLevelType w:val="hybridMultilevel"/>
    <w:tmpl w:val="45C29CAA"/>
    <w:lvl w:ilvl="0" w:tplc="D56636FE">
      <w:start w:val="1"/>
      <w:numFmt w:val="bullet"/>
      <w:pStyle w:val="Bullet3"/>
      <w:lvlText w:val=""/>
      <w:lvlJc w:val="left"/>
      <w:pPr>
        <w:ind w:left="2194" w:hanging="360"/>
      </w:pPr>
      <w:rPr>
        <w:rFonts w:ascii="Wingdings" w:hAnsi="Wingdings"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1" w15:restartNumberingAfterBreak="0">
    <w:nsid w:val="15BE5F89"/>
    <w:multiLevelType w:val="hybridMultilevel"/>
    <w:tmpl w:val="0BFC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A338E"/>
    <w:multiLevelType w:val="hybridMultilevel"/>
    <w:tmpl w:val="23F4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465B8"/>
    <w:multiLevelType w:val="hybridMultilevel"/>
    <w:tmpl w:val="F4CA70FC"/>
    <w:lvl w:ilvl="0" w:tplc="145670EE">
      <w:start w:val="1"/>
      <w:numFmt w:val="decimal"/>
      <w:pStyle w:val="Footnotenumbered"/>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1493E"/>
    <w:multiLevelType w:val="hybridMultilevel"/>
    <w:tmpl w:val="4ADAE0A2"/>
    <w:lvl w:ilvl="0" w:tplc="2CCABE02">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F7522"/>
    <w:multiLevelType w:val="hybridMultilevel"/>
    <w:tmpl w:val="FF089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86727"/>
    <w:multiLevelType w:val="hybridMultilevel"/>
    <w:tmpl w:val="4C5822AA"/>
    <w:lvl w:ilvl="0" w:tplc="7B34FE06">
      <w:start w:val="1"/>
      <w:numFmt w:val="bullet"/>
      <w:pStyle w:val="Tablebullet1"/>
      <w:lvlText w:val=""/>
      <w:lvlJc w:val="left"/>
      <w:pPr>
        <w:ind w:left="720" w:hanging="360"/>
      </w:pPr>
      <w:rPr>
        <w:rFonts w:ascii="Symbol" w:hAnsi="Symbol" w:hint="default"/>
      </w:rPr>
    </w:lvl>
    <w:lvl w:ilvl="1" w:tplc="5A18AD58">
      <w:start w:val="1"/>
      <w:numFmt w:val="bullet"/>
      <w:pStyle w:val="Table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E0223"/>
    <w:multiLevelType w:val="hybridMultilevel"/>
    <w:tmpl w:val="E6E80DA2"/>
    <w:lvl w:ilvl="0" w:tplc="53985D78">
      <w:start w:val="1"/>
      <w:numFmt w:val="decimal"/>
      <w:pStyle w:val="Bulletnumbered1"/>
      <w:lvlText w:val="%1."/>
      <w:lvlJc w:val="left"/>
      <w:pPr>
        <w:ind w:left="720" w:hanging="360"/>
      </w:pPr>
    </w:lvl>
    <w:lvl w:ilvl="1" w:tplc="C3A87CD6">
      <w:start w:val="1"/>
      <w:numFmt w:val="lowerLetter"/>
      <w:pStyle w:val="Bulletnumbered2abc"/>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A3C3A"/>
    <w:multiLevelType w:val="hybridMultilevel"/>
    <w:tmpl w:val="4BB247B2"/>
    <w:lvl w:ilvl="0" w:tplc="28FCC83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A7177"/>
    <w:multiLevelType w:val="multilevel"/>
    <w:tmpl w:val="8516095C"/>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311B05CC"/>
    <w:multiLevelType w:val="hybridMultilevel"/>
    <w:tmpl w:val="2380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648C8"/>
    <w:multiLevelType w:val="hybridMultilevel"/>
    <w:tmpl w:val="EC2C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93D40"/>
    <w:multiLevelType w:val="hybridMultilevel"/>
    <w:tmpl w:val="FBB6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465E0"/>
    <w:multiLevelType w:val="hybridMultilevel"/>
    <w:tmpl w:val="23805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65722581"/>
    <w:multiLevelType w:val="hybridMultilevel"/>
    <w:tmpl w:val="03F4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B435A"/>
    <w:multiLevelType w:val="hybridMultilevel"/>
    <w:tmpl w:val="142A0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A55E7"/>
    <w:multiLevelType w:val="hybridMultilevel"/>
    <w:tmpl w:val="6FEC4A80"/>
    <w:lvl w:ilvl="0" w:tplc="9806A1AE">
      <w:start w:val="1"/>
      <w:numFmt w:val="bullet"/>
      <w:pStyle w:val="Bullet2"/>
      <w:lvlText w:val="o"/>
      <w:lvlJc w:val="left"/>
      <w:pPr>
        <w:ind w:left="1854" w:hanging="360"/>
      </w:pPr>
      <w:rPr>
        <w:rFonts w:ascii="Courier New" w:hAnsi="Courier New" w:cs="Courier New" w:hint="default"/>
      </w:rPr>
    </w:lvl>
    <w:lvl w:ilvl="1" w:tplc="D2A80396">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85C454E"/>
    <w:multiLevelType w:val="hybridMultilevel"/>
    <w:tmpl w:val="BCCA1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17"/>
  </w:num>
  <w:num w:numId="6">
    <w:abstractNumId w:val="0"/>
  </w:num>
  <w:num w:numId="7">
    <w:abstractNumId w:val="7"/>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num>
  <w:num w:numId="12">
    <w:abstractNumId w:val="16"/>
  </w:num>
  <w:num w:numId="13">
    <w:abstractNumId w:val="10"/>
  </w:num>
  <w:num w:numId="14">
    <w:abstractNumId w:val="15"/>
  </w:num>
  <w:num w:numId="15">
    <w:abstractNumId w:val="5"/>
  </w:num>
  <w:num w:numId="16">
    <w:abstractNumId w:val="14"/>
  </w:num>
  <w:num w:numId="17">
    <w:abstractNumId w:val="1"/>
  </w:num>
  <w:num w:numId="18">
    <w:abstractNumId w:val="2"/>
  </w:num>
  <w:num w:numId="19">
    <w:abstractNumId w:val="11"/>
  </w:num>
  <w:num w:numId="20">
    <w:abstractNumId w:val="18"/>
  </w:num>
  <w:num w:numId="21">
    <w:abstractNumId w:val="13"/>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3B"/>
    <w:rsid w:val="000077AE"/>
    <w:rsid w:val="00021AE4"/>
    <w:rsid w:val="00025D78"/>
    <w:rsid w:val="00035797"/>
    <w:rsid w:val="00043625"/>
    <w:rsid w:val="00045D32"/>
    <w:rsid w:val="000512F0"/>
    <w:rsid w:val="0006090C"/>
    <w:rsid w:val="0007123F"/>
    <w:rsid w:val="000767E0"/>
    <w:rsid w:val="00076A28"/>
    <w:rsid w:val="0008084C"/>
    <w:rsid w:val="000A232E"/>
    <w:rsid w:val="000B0A2A"/>
    <w:rsid w:val="000B7D15"/>
    <w:rsid w:val="000D2607"/>
    <w:rsid w:val="000D322E"/>
    <w:rsid w:val="000E2511"/>
    <w:rsid w:val="000F5591"/>
    <w:rsid w:val="001035B3"/>
    <w:rsid w:val="00105DF5"/>
    <w:rsid w:val="00123B8D"/>
    <w:rsid w:val="0012455B"/>
    <w:rsid w:val="00124891"/>
    <w:rsid w:val="00127891"/>
    <w:rsid w:val="00132DCC"/>
    <w:rsid w:val="00146847"/>
    <w:rsid w:val="0016110E"/>
    <w:rsid w:val="00161AD3"/>
    <w:rsid w:val="00174930"/>
    <w:rsid w:val="001761ED"/>
    <w:rsid w:val="00176C3D"/>
    <w:rsid w:val="00184D66"/>
    <w:rsid w:val="0019685F"/>
    <w:rsid w:val="001A1C34"/>
    <w:rsid w:val="001A2346"/>
    <w:rsid w:val="001B5051"/>
    <w:rsid w:val="001B7659"/>
    <w:rsid w:val="001C6D20"/>
    <w:rsid w:val="001E1158"/>
    <w:rsid w:val="00204519"/>
    <w:rsid w:val="002070A6"/>
    <w:rsid w:val="00216E69"/>
    <w:rsid w:val="00226C77"/>
    <w:rsid w:val="00230509"/>
    <w:rsid w:val="002656F7"/>
    <w:rsid w:val="002700AB"/>
    <w:rsid w:val="002844AF"/>
    <w:rsid w:val="00284C23"/>
    <w:rsid w:val="0028579B"/>
    <w:rsid w:val="002E0489"/>
    <w:rsid w:val="002E74A8"/>
    <w:rsid w:val="002F31ED"/>
    <w:rsid w:val="002F4B57"/>
    <w:rsid w:val="00304C4F"/>
    <w:rsid w:val="0031525A"/>
    <w:rsid w:val="0032095C"/>
    <w:rsid w:val="00320A17"/>
    <w:rsid w:val="0033328C"/>
    <w:rsid w:val="0033574C"/>
    <w:rsid w:val="00343343"/>
    <w:rsid w:val="00350359"/>
    <w:rsid w:val="003544DE"/>
    <w:rsid w:val="003637C7"/>
    <w:rsid w:val="003702D7"/>
    <w:rsid w:val="00391F40"/>
    <w:rsid w:val="003A3A70"/>
    <w:rsid w:val="003B1F13"/>
    <w:rsid w:val="003B2541"/>
    <w:rsid w:val="003C0A7B"/>
    <w:rsid w:val="003C44B0"/>
    <w:rsid w:val="003C549D"/>
    <w:rsid w:val="004000AB"/>
    <w:rsid w:val="0040598E"/>
    <w:rsid w:val="00406487"/>
    <w:rsid w:val="00406D35"/>
    <w:rsid w:val="0041222F"/>
    <w:rsid w:val="00422DED"/>
    <w:rsid w:val="00427D8B"/>
    <w:rsid w:val="004545E2"/>
    <w:rsid w:val="00465506"/>
    <w:rsid w:val="00466C83"/>
    <w:rsid w:val="004739B2"/>
    <w:rsid w:val="004809DA"/>
    <w:rsid w:val="00487A27"/>
    <w:rsid w:val="0049711A"/>
    <w:rsid w:val="004A2807"/>
    <w:rsid w:val="004A37A7"/>
    <w:rsid w:val="004A63A0"/>
    <w:rsid w:val="004A6BCA"/>
    <w:rsid w:val="004B0473"/>
    <w:rsid w:val="004B361B"/>
    <w:rsid w:val="004C2B96"/>
    <w:rsid w:val="004D2E1C"/>
    <w:rsid w:val="004E69B8"/>
    <w:rsid w:val="004F3F88"/>
    <w:rsid w:val="004F6DDD"/>
    <w:rsid w:val="005069D0"/>
    <w:rsid w:val="00526937"/>
    <w:rsid w:val="00527B4C"/>
    <w:rsid w:val="0055492E"/>
    <w:rsid w:val="00562A71"/>
    <w:rsid w:val="00564887"/>
    <w:rsid w:val="00564CE7"/>
    <w:rsid w:val="005679C8"/>
    <w:rsid w:val="00567F26"/>
    <w:rsid w:val="005840FE"/>
    <w:rsid w:val="005A014C"/>
    <w:rsid w:val="005A03F8"/>
    <w:rsid w:val="005B3B0D"/>
    <w:rsid w:val="005C1A50"/>
    <w:rsid w:val="005D4511"/>
    <w:rsid w:val="005D5EFB"/>
    <w:rsid w:val="005E3548"/>
    <w:rsid w:val="005E4AC9"/>
    <w:rsid w:val="005E4EA7"/>
    <w:rsid w:val="005F6E1A"/>
    <w:rsid w:val="00622DF8"/>
    <w:rsid w:val="006234A3"/>
    <w:rsid w:val="00634FB8"/>
    <w:rsid w:val="00662827"/>
    <w:rsid w:val="006729B9"/>
    <w:rsid w:val="00677E3B"/>
    <w:rsid w:val="00685AB5"/>
    <w:rsid w:val="00694A13"/>
    <w:rsid w:val="006A5EA1"/>
    <w:rsid w:val="006A6B9C"/>
    <w:rsid w:val="006B18B7"/>
    <w:rsid w:val="006B5F13"/>
    <w:rsid w:val="006C0A22"/>
    <w:rsid w:val="006C1D69"/>
    <w:rsid w:val="006E4E75"/>
    <w:rsid w:val="006F5D18"/>
    <w:rsid w:val="006F6248"/>
    <w:rsid w:val="007034F3"/>
    <w:rsid w:val="00710AA6"/>
    <w:rsid w:val="00712992"/>
    <w:rsid w:val="0071412E"/>
    <w:rsid w:val="007209C7"/>
    <w:rsid w:val="00732BF7"/>
    <w:rsid w:val="00743586"/>
    <w:rsid w:val="007452EF"/>
    <w:rsid w:val="00747161"/>
    <w:rsid w:val="00752C41"/>
    <w:rsid w:val="00755BFE"/>
    <w:rsid w:val="007624CA"/>
    <w:rsid w:val="00765DB7"/>
    <w:rsid w:val="00780900"/>
    <w:rsid w:val="007867C4"/>
    <w:rsid w:val="00792DFF"/>
    <w:rsid w:val="007A08FF"/>
    <w:rsid w:val="007B495C"/>
    <w:rsid w:val="007C5E0C"/>
    <w:rsid w:val="007E2D14"/>
    <w:rsid w:val="007E3EED"/>
    <w:rsid w:val="007F02EC"/>
    <w:rsid w:val="007F23D8"/>
    <w:rsid w:val="0080283E"/>
    <w:rsid w:val="00806DD9"/>
    <w:rsid w:val="0083597A"/>
    <w:rsid w:val="008507DC"/>
    <w:rsid w:val="00871DFF"/>
    <w:rsid w:val="008928D8"/>
    <w:rsid w:val="00893E6F"/>
    <w:rsid w:val="00897914"/>
    <w:rsid w:val="008A1339"/>
    <w:rsid w:val="008B00C6"/>
    <w:rsid w:val="008B14A9"/>
    <w:rsid w:val="008B1E76"/>
    <w:rsid w:val="008B4C6E"/>
    <w:rsid w:val="008B634E"/>
    <w:rsid w:val="008D2E33"/>
    <w:rsid w:val="008E1EC7"/>
    <w:rsid w:val="008E5553"/>
    <w:rsid w:val="008E59B7"/>
    <w:rsid w:val="00903E88"/>
    <w:rsid w:val="00912AC3"/>
    <w:rsid w:val="00917232"/>
    <w:rsid w:val="00923306"/>
    <w:rsid w:val="009365E5"/>
    <w:rsid w:val="009524B4"/>
    <w:rsid w:val="009552D5"/>
    <w:rsid w:val="009576BE"/>
    <w:rsid w:val="00964212"/>
    <w:rsid w:val="00973346"/>
    <w:rsid w:val="00997DA7"/>
    <w:rsid w:val="009A42BA"/>
    <w:rsid w:val="009A7D6E"/>
    <w:rsid w:val="009B2604"/>
    <w:rsid w:val="009C0A8C"/>
    <w:rsid w:val="009D5B72"/>
    <w:rsid w:val="009D77CE"/>
    <w:rsid w:val="009E6E10"/>
    <w:rsid w:val="009F0531"/>
    <w:rsid w:val="00A0650F"/>
    <w:rsid w:val="00A12102"/>
    <w:rsid w:val="00A143AA"/>
    <w:rsid w:val="00A143E2"/>
    <w:rsid w:val="00A17961"/>
    <w:rsid w:val="00A31410"/>
    <w:rsid w:val="00A35245"/>
    <w:rsid w:val="00A44098"/>
    <w:rsid w:val="00A47AC1"/>
    <w:rsid w:val="00A52890"/>
    <w:rsid w:val="00A578D8"/>
    <w:rsid w:val="00A6062B"/>
    <w:rsid w:val="00A6499F"/>
    <w:rsid w:val="00A70E7E"/>
    <w:rsid w:val="00A71D8F"/>
    <w:rsid w:val="00A764FF"/>
    <w:rsid w:val="00A7759C"/>
    <w:rsid w:val="00A77F7E"/>
    <w:rsid w:val="00A93276"/>
    <w:rsid w:val="00A94395"/>
    <w:rsid w:val="00A9534B"/>
    <w:rsid w:val="00A96A96"/>
    <w:rsid w:val="00AA013D"/>
    <w:rsid w:val="00AC0FAF"/>
    <w:rsid w:val="00AD7E8E"/>
    <w:rsid w:val="00AF4585"/>
    <w:rsid w:val="00B0212D"/>
    <w:rsid w:val="00B024FF"/>
    <w:rsid w:val="00B12D41"/>
    <w:rsid w:val="00B14000"/>
    <w:rsid w:val="00B24DA0"/>
    <w:rsid w:val="00B30277"/>
    <w:rsid w:val="00B30299"/>
    <w:rsid w:val="00B33393"/>
    <w:rsid w:val="00B44C6D"/>
    <w:rsid w:val="00B47942"/>
    <w:rsid w:val="00B55604"/>
    <w:rsid w:val="00B564D8"/>
    <w:rsid w:val="00B5727B"/>
    <w:rsid w:val="00B600BD"/>
    <w:rsid w:val="00B714AF"/>
    <w:rsid w:val="00B86788"/>
    <w:rsid w:val="00B876DA"/>
    <w:rsid w:val="00BB7CD9"/>
    <w:rsid w:val="00BC2FD4"/>
    <w:rsid w:val="00BD2CFB"/>
    <w:rsid w:val="00BD43C1"/>
    <w:rsid w:val="00BE2489"/>
    <w:rsid w:val="00BE2FA4"/>
    <w:rsid w:val="00BE3553"/>
    <w:rsid w:val="00BF1E43"/>
    <w:rsid w:val="00BF234F"/>
    <w:rsid w:val="00BF624A"/>
    <w:rsid w:val="00C06ABA"/>
    <w:rsid w:val="00C23CE5"/>
    <w:rsid w:val="00C276F7"/>
    <w:rsid w:val="00C30306"/>
    <w:rsid w:val="00C31B6E"/>
    <w:rsid w:val="00C34FCC"/>
    <w:rsid w:val="00C61770"/>
    <w:rsid w:val="00C909CA"/>
    <w:rsid w:val="00C959FD"/>
    <w:rsid w:val="00CB0EA8"/>
    <w:rsid w:val="00CB27AF"/>
    <w:rsid w:val="00CB4A51"/>
    <w:rsid w:val="00CC3F5E"/>
    <w:rsid w:val="00CD23E8"/>
    <w:rsid w:val="00CD6F89"/>
    <w:rsid w:val="00CF1F47"/>
    <w:rsid w:val="00CF3FFF"/>
    <w:rsid w:val="00CF6275"/>
    <w:rsid w:val="00D00AA1"/>
    <w:rsid w:val="00D00B9A"/>
    <w:rsid w:val="00D15596"/>
    <w:rsid w:val="00D2302F"/>
    <w:rsid w:val="00D27B44"/>
    <w:rsid w:val="00D324A8"/>
    <w:rsid w:val="00D35B5F"/>
    <w:rsid w:val="00D540D2"/>
    <w:rsid w:val="00D600AF"/>
    <w:rsid w:val="00D62320"/>
    <w:rsid w:val="00D66074"/>
    <w:rsid w:val="00D66544"/>
    <w:rsid w:val="00D76AFA"/>
    <w:rsid w:val="00D76C00"/>
    <w:rsid w:val="00D91E46"/>
    <w:rsid w:val="00D96374"/>
    <w:rsid w:val="00DA7DD8"/>
    <w:rsid w:val="00DE5B0A"/>
    <w:rsid w:val="00DE6596"/>
    <w:rsid w:val="00DF2D0C"/>
    <w:rsid w:val="00DF7194"/>
    <w:rsid w:val="00E05590"/>
    <w:rsid w:val="00E155DD"/>
    <w:rsid w:val="00E27A0C"/>
    <w:rsid w:val="00E30E46"/>
    <w:rsid w:val="00E319B6"/>
    <w:rsid w:val="00E37097"/>
    <w:rsid w:val="00E463A2"/>
    <w:rsid w:val="00E46B29"/>
    <w:rsid w:val="00E5143A"/>
    <w:rsid w:val="00E60180"/>
    <w:rsid w:val="00E64829"/>
    <w:rsid w:val="00E64D9F"/>
    <w:rsid w:val="00E727E4"/>
    <w:rsid w:val="00E92F30"/>
    <w:rsid w:val="00E93976"/>
    <w:rsid w:val="00E979CD"/>
    <w:rsid w:val="00EA5C9E"/>
    <w:rsid w:val="00EA665E"/>
    <w:rsid w:val="00EB4784"/>
    <w:rsid w:val="00EC5B51"/>
    <w:rsid w:val="00ED339D"/>
    <w:rsid w:val="00ED5CD6"/>
    <w:rsid w:val="00EE232E"/>
    <w:rsid w:val="00EF4128"/>
    <w:rsid w:val="00EF7AF6"/>
    <w:rsid w:val="00F07603"/>
    <w:rsid w:val="00F15EFA"/>
    <w:rsid w:val="00F22B32"/>
    <w:rsid w:val="00F30A67"/>
    <w:rsid w:val="00F32530"/>
    <w:rsid w:val="00F32995"/>
    <w:rsid w:val="00F32AFF"/>
    <w:rsid w:val="00F44284"/>
    <w:rsid w:val="00F44F23"/>
    <w:rsid w:val="00F66E82"/>
    <w:rsid w:val="00F66EE3"/>
    <w:rsid w:val="00F70320"/>
    <w:rsid w:val="00F83999"/>
    <w:rsid w:val="00FA5E32"/>
    <w:rsid w:val="00FB5B83"/>
    <w:rsid w:val="00FC6F14"/>
    <w:rsid w:val="00FC7535"/>
    <w:rsid w:val="00FC7BED"/>
    <w:rsid w:val="00FD5935"/>
    <w:rsid w:val="00FF0673"/>
    <w:rsid w:val="00FF5439"/>
    <w:rsid w:val="00FF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31D6DF"/>
  <w15:chartTrackingRefBased/>
  <w15:docId w15:val="{02044E9E-C54B-45E5-979E-F92538FE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locked="0" w:semiHidden="1"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F6275"/>
    <w:pPr>
      <w:spacing w:after="240" w:line="288" w:lineRule="auto"/>
    </w:pPr>
    <w:rPr>
      <w:rFonts w:ascii="Arial" w:hAnsi="Arial"/>
      <w:sz w:val="24"/>
    </w:rPr>
  </w:style>
  <w:style w:type="paragraph" w:styleId="Heading1">
    <w:name w:val="heading 1"/>
    <w:basedOn w:val="Normal"/>
    <w:next w:val="Normal"/>
    <w:link w:val="Heading1Char"/>
    <w:uiPriority w:val="9"/>
    <w:qFormat/>
    <w:rsid w:val="005E3548"/>
    <w:pPr>
      <w:keepNext/>
      <w:keepLines/>
      <w:spacing w:before="720"/>
      <w:outlineLvl w:val="0"/>
    </w:pPr>
    <w:rPr>
      <w:rFonts w:eastAsiaTheme="majorEastAsia" w:cstheme="majorBidi"/>
      <w:b/>
      <w:color w:val="43358B"/>
      <w:sz w:val="36"/>
      <w:szCs w:val="36"/>
    </w:rPr>
  </w:style>
  <w:style w:type="paragraph" w:styleId="Heading2">
    <w:name w:val="heading 2"/>
    <w:basedOn w:val="Normal"/>
    <w:next w:val="Normal"/>
    <w:link w:val="Heading2Char"/>
    <w:uiPriority w:val="9"/>
    <w:qFormat/>
    <w:rsid w:val="00A17961"/>
    <w:pPr>
      <w:keepNext/>
      <w:keepLines/>
      <w:spacing w:before="480"/>
      <w:outlineLvl w:val="1"/>
    </w:pPr>
    <w:rPr>
      <w:rFonts w:eastAsiaTheme="majorEastAsia" w:cstheme="majorBidi"/>
      <w:b/>
      <w:color w:val="595959" w:themeColor="text1" w:themeTint="A6"/>
      <w:sz w:val="32"/>
      <w:szCs w:val="32"/>
    </w:rPr>
  </w:style>
  <w:style w:type="paragraph" w:styleId="Heading3">
    <w:name w:val="heading 3"/>
    <w:basedOn w:val="Heading2"/>
    <w:next w:val="Normal"/>
    <w:link w:val="Heading3Char"/>
    <w:uiPriority w:val="9"/>
    <w:qFormat/>
    <w:rsid w:val="004809DA"/>
    <w:pPr>
      <w:outlineLvl w:val="2"/>
    </w:pPr>
    <w:rPr>
      <w:rFonts w:cs="Arial"/>
      <w:bCs/>
      <w:sz w:val="28"/>
      <w:szCs w:val="28"/>
    </w:rPr>
  </w:style>
  <w:style w:type="paragraph" w:styleId="Heading4">
    <w:name w:val="heading 4"/>
    <w:basedOn w:val="Heading3"/>
    <w:next w:val="Normal"/>
    <w:link w:val="Heading4Char"/>
    <w:uiPriority w:val="9"/>
    <w:qFormat/>
    <w:rsid w:val="005E3548"/>
    <w:pPr>
      <w:outlineLvl w:val="3"/>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tle">
    <w:name w:val="Publication Title"/>
    <w:basedOn w:val="Normal"/>
    <w:autoRedefine/>
    <w:qFormat/>
    <w:rsid w:val="00A70E7E"/>
    <w:pPr>
      <w:spacing w:before="120" w:line="560" w:lineRule="exact"/>
    </w:pPr>
    <w:rPr>
      <w:b/>
      <w:color w:val="43358B"/>
      <w:spacing w:val="-20"/>
      <w:sz w:val="56"/>
    </w:rPr>
  </w:style>
  <w:style w:type="paragraph" w:customStyle="1" w:styleId="Publicationsubtitle">
    <w:name w:val="Publication subtitle"/>
    <w:basedOn w:val="PublicationTitle"/>
    <w:autoRedefine/>
    <w:qFormat/>
    <w:rsid w:val="00A70E7E"/>
    <w:pPr>
      <w:spacing w:line="360" w:lineRule="exact"/>
    </w:pPr>
    <w:rPr>
      <w:spacing w:val="0"/>
      <w:sz w:val="36"/>
    </w:rPr>
  </w:style>
  <w:style w:type="paragraph" w:customStyle="1" w:styleId="Publicationdate">
    <w:name w:val="Publication date"/>
    <w:basedOn w:val="PublicationTitle"/>
    <w:autoRedefine/>
    <w:qFormat/>
    <w:rsid w:val="00A70E7E"/>
    <w:pPr>
      <w:spacing w:line="360" w:lineRule="exact"/>
    </w:pPr>
    <w:rPr>
      <w:b w:val="0"/>
      <w:color w:val="auto"/>
      <w:spacing w:val="0"/>
      <w:sz w:val="36"/>
    </w:rPr>
  </w:style>
  <w:style w:type="character" w:styleId="PlaceholderText">
    <w:name w:val="Placeholder Text"/>
    <w:basedOn w:val="DefaultParagraphFont"/>
    <w:uiPriority w:val="99"/>
    <w:semiHidden/>
    <w:locked/>
    <w:rsid w:val="00677E3B"/>
    <w:rPr>
      <w:color w:val="808080"/>
    </w:rPr>
  </w:style>
  <w:style w:type="paragraph" w:styleId="Header">
    <w:name w:val="header"/>
    <w:basedOn w:val="Normal"/>
    <w:link w:val="HeaderChar"/>
    <w:uiPriority w:val="99"/>
    <w:rsid w:val="00677E3B"/>
    <w:pPr>
      <w:tabs>
        <w:tab w:val="center" w:pos="4513"/>
        <w:tab w:val="right" w:pos="9026"/>
      </w:tabs>
      <w:spacing w:after="0"/>
    </w:pPr>
  </w:style>
  <w:style w:type="character" w:customStyle="1" w:styleId="HeaderChar">
    <w:name w:val="Header Char"/>
    <w:basedOn w:val="DefaultParagraphFont"/>
    <w:link w:val="Header"/>
    <w:uiPriority w:val="99"/>
    <w:rsid w:val="007867C4"/>
    <w:rPr>
      <w:rFonts w:ascii="Arial" w:hAnsi="Arial"/>
      <w:sz w:val="24"/>
    </w:rPr>
  </w:style>
  <w:style w:type="paragraph" w:styleId="Footer">
    <w:name w:val="footer"/>
    <w:basedOn w:val="Normal"/>
    <w:link w:val="FooterChar"/>
    <w:uiPriority w:val="99"/>
    <w:rsid w:val="00045D32"/>
    <w:pPr>
      <w:tabs>
        <w:tab w:val="center" w:pos="4513"/>
        <w:tab w:val="right" w:pos="9026"/>
      </w:tabs>
      <w:spacing w:after="0" w:line="360" w:lineRule="auto"/>
    </w:pPr>
  </w:style>
  <w:style w:type="character" w:customStyle="1" w:styleId="FooterChar">
    <w:name w:val="Footer Char"/>
    <w:basedOn w:val="DefaultParagraphFont"/>
    <w:link w:val="Footer"/>
    <w:uiPriority w:val="99"/>
    <w:rsid w:val="007867C4"/>
    <w:rPr>
      <w:rFonts w:ascii="Arial" w:hAnsi="Arial"/>
      <w:sz w:val="24"/>
    </w:rPr>
  </w:style>
  <w:style w:type="paragraph" w:customStyle="1" w:styleId="TableHead">
    <w:name w:val="Table Head"/>
    <w:basedOn w:val="Normal"/>
    <w:link w:val="TableHeadChar"/>
    <w:qFormat/>
    <w:rsid w:val="00BE3553"/>
    <w:pPr>
      <w:spacing w:after="0"/>
      <w:jc w:val="center"/>
    </w:pPr>
    <w:rPr>
      <w:b/>
      <w:color w:val="FFFFFF" w:themeColor="background1"/>
      <w:sz w:val="22"/>
    </w:rPr>
  </w:style>
  <w:style w:type="paragraph" w:customStyle="1" w:styleId="TableBody">
    <w:name w:val="Table Body"/>
    <w:basedOn w:val="TableHead"/>
    <w:link w:val="TableBodyChar"/>
    <w:qFormat/>
    <w:rsid w:val="007C5E0C"/>
    <w:pPr>
      <w:spacing w:before="140" w:after="140"/>
      <w:jc w:val="left"/>
    </w:pPr>
    <w:rPr>
      <w:b w:val="0"/>
      <w:color w:val="262626" w:themeColor="text1" w:themeTint="D9"/>
    </w:rPr>
  </w:style>
  <w:style w:type="paragraph" w:customStyle="1" w:styleId="ContentsHeader">
    <w:name w:val="Contents Header"/>
    <w:basedOn w:val="Heading1"/>
    <w:link w:val="ContentsHeaderChar"/>
    <w:semiHidden/>
    <w:qFormat/>
    <w:rsid w:val="00021AE4"/>
    <w:pPr>
      <w:spacing w:before="480" w:line="320" w:lineRule="exact"/>
    </w:pPr>
    <w:rPr>
      <w:szCs w:val="28"/>
    </w:rPr>
  </w:style>
  <w:style w:type="character" w:customStyle="1" w:styleId="ContentsHeaderChar">
    <w:name w:val="Contents Header Char"/>
    <w:basedOn w:val="Heading1Char"/>
    <w:link w:val="ContentsHeader"/>
    <w:semiHidden/>
    <w:rsid w:val="000D322E"/>
    <w:rPr>
      <w:rFonts w:ascii="Arial" w:eastAsiaTheme="majorEastAsia" w:hAnsi="Arial" w:cstheme="majorBidi"/>
      <w:b/>
      <w:color w:val="43358B"/>
      <w:sz w:val="36"/>
      <w:szCs w:val="28"/>
    </w:rPr>
  </w:style>
  <w:style w:type="character" w:customStyle="1" w:styleId="TableHeadChar">
    <w:name w:val="Table Head Char"/>
    <w:basedOn w:val="DefaultParagraphFont"/>
    <w:link w:val="TableHead"/>
    <w:rsid w:val="00BE3553"/>
    <w:rPr>
      <w:rFonts w:ascii="Arial" w:hAnsi="Arial"/>
      <w:b/>
      <w:color w:val="FFFFFF" w:themeColor="background1"/>
    </w:rPr>
  </w:style>
  <w:style w:type="character" w:customStyle="1" w:styleId="TableBodyChar">
    <w:name w:val="Table Body Char"/>
    <w:basedOn w:val="TableHeadChar"/>
    <w:link w:val="TableBody"/>
    <w:rsid w:val="007C5E0C"/>
    <w:rPr>
      <w:rFonts w:ascii="Arial" w:hAnsi="Arial"/>
      <w:b w:val="0"/>
      <w:color w:val="262626" w:themeColor="text1" w:themeTint="D9"/>
    </w:rPr>
  </w:style>
  <w:style w:type="character" w:customStyle="1" w:styleId="Heading1Char">
    <w:name w:val="Heading 1 Char"/>
    <w:basedOn w:val="DefaultParagraphFont"/>
    <w:link w:val="Heading1"/>
    <w:uiPriority w:val="9"/>
    <w:rsid w:val="005E3548"/>
    <w:rPr>
      <w:rFonts w:ascii="Arial" w:eastAsiaTheme="majorEastAsia" w:hAnsi="Arial" w:cstheme="majorBidi"/>
      <w:b/>
      <w:color w:val="43358B"/>
      <w:sz w:val="36"/>
      <w:szCs w:val="36"/>
    </w:rPr>
  </w:style>
  <w:style w:type="character" w:customStyle="1" w:styleId="Heading2Char">
    <w:name w:val="Heading 2 Char"/>
    <w:basedOn w:val="DefaultParagraphFont"/>
    <w:link w:val="Heading2"/>
    <w:uiPriority w:val="9"/>
    <w:rsid w:val="00A17961"/>
    <w:rPr>
      <w:rFonts w:ascii="Arial" w:eastAsiaTheme="majorEastAsia" w:hAnsi="Arial" w:cstheme="majorBidi"/>
      <w:b/>
      <w:color w:val="595959" w:themeColor="text1" w:themeTint="A6"/>
      <w:sz w:val="32"/>
      <w:szCs w:val="32"/>
    </w:rPr>
  </w:style>
  <w:style w:type="character" w:customStyle="1" w:styleId="Heading3Char">
    <w:name w:val="Heading 3 Char"/>
    <w:basedOn w:val="DefaultParagraphFont"/>
    <w:link w:val="Heading3"/>
    <w:uiPriority w:val="9"/>
    <w:rsid w:val="004809DA"/>
    <w:rPr>
      <w:rFonts w:ascii="Arial" w:eastAsiaTheme="majorEastAsia" w:hAnsi="Arial" w:cs="Arial"/>
      <w:b/>
      <w:bCs/>
      <w:color w:val="595959" w:themeColor="text1" w:themeTint="A6"/>
      <w:sz w:val="28"/>
      <w:szCs w:val="28"/>
    </w:rPr>
  </w:style>
  <w:style w:type="character" w:customStyle="1" w:styleId="Heading4Char">
    <w:name w:val="Heading 4 Char"/>
    <w:basedOn w:val="DefaultParagraphFont"/>
    <w:link w:val="Heading4"/>
    <w:uiPriority w:val="9"/>
    <w:rsid w:val="00FC7BED"/>
    <w:rPr>
      <w:rFonts w:ascii="Arial" w:eastAsiaTheme="majorEastAsia" w:hAnsi="Arial" w:cs="Arial"/>
      <w:b/>
      <w:color w:val="595959" w:themeColor="text1" w:themeTint="A6"/>
      <w:sz w:val="28"/>
      <w:szCs w:val="28"/>
    </w:rPr>
  </w:style>
  <w:style w:type="table" w:styleId="TableGrid">
    <w:name w:val="Table Grid"/>
    <w:basedOn w:val="TableNormal"/>
    <w:uiPriority w:val="59"/>
    <w:rsid w:val="009A7D6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val="0"/>
        <w:i w:val="0"/>
        <w:sz w:val="22"/>
      </w:rPr>
      <w:tblPr>
        <w:tblCellMar>
          <w:top w:w="28" w:type="dxa"/>
          <w:left w:w="108" w:type="dxa"/>
          <w:bottom w:w="57" w:type="dxa"/>
          <w:right w:w="108" w:type="dxa"/>
        </w:tblCellMar>
      </w:tblPr>
      <w:trPr>
        <w:tblHeader/>
      </w:trPr>
      <w:tcPr>
        <w:shd w:val="clear" w:color="auto" w:fill="964091"/>
        <w:vAlign w:val="center"/>
      </w:tcPr>
    </w:tblStylePr>
    <w:tblStylePr w:type="lastRow">
      <w:rPr>
        <w:b/>
      </w:rPr>
    </w:tblStylePr>
  </w:style>
  <w:style w:type="paragraph" w:customStyle="1" w:styleId="Tableorchartcaption">
    <w:name w:val="Table or chart caption"/>
    <w:basedOn w:val="Normal"/>
    <w:qFormat/>
    <w:rsid w:val="00755BFE"/>
    <w:pPr>
      <w:spacing w:before="360" w:after="120"/>
    </w:pPr>
    <w:rPr>
      <w:rFonts w:eastAsia="Times New Roman" w:cs="Arial"/>
      <w:b/>
      <w:color w:val="964091"/>
      <w:szCs w:val="24"/>
      <w:lang w:eastAsia="en-GB"/>
    </w:rPr>
  </w:style>
  <w:style w:type="character" w:customStyle="1" w:styleId="Superscript">
    <w:name w:val="Superscript"/>
    <w:basedOn w:val="DefaultParagraphFont"/>
    <w:uiPriority w:val="1"/>
    <w:qFormat/>
    <w:rsid w:val="00755BFE"/>
    <w:rPr>
      <w:rFonts w:cs="Arial"/>
      <w:vertAlign w:val="superscript"/>
    </w:rPr>
  </w:style>
  <w:style w:type="paragraph" w:styleId="ListParagraph">
    <w:name w:val="List Paragraph"/>
    <w:basedOn w:val="Normal"/>
    <w:uiPriority w:val="34"/>
    <w:semiHidden/>
    <w:qFormat/>
    <w:locked/>
    <w:rsid w:val="00CF1F47"/>
    <w:pPr>
      <w:ind w:left="720"/>
      <w:contextualSpacing/>
    </w:pPr>
  </w:style>
  <w:style w:type="paragraph" w:customStyle="1" w:styleId="Bullet1">
    <w:name w:val="Bullet 1"/>
    <w:basedOn w:val="ListParagraph"/>
    <w:qFormat/>
    <w:rsid w:val="00E64829"/>
    <w:pPr>
      <w:numPr>
        <w:numId w:val="1"/>
      </w:numPr>
      <w:ind w:left="681" w:hanging="284"/>
      <w:contextualSpacing w:val="0"/>
    </w:pPr>
  </w:style>
  <w:style w:type="paragraph" w:customStyle="1" w:styleId="Bullet2">
    <w:name w:val="Bullet 2"/>
    <w:basedOn w:val="Bullet1"/>
    <w:qFormat/>
    <w:rsid w:val="00E64829"/>
    <w:pPr>
      <w:numPr>
        <w:numId w:val="5"/>
      </w:numPr>
      <w:ind w:left="1248" w:hanging="284"/>
    </w:pPr>
  </w:style>
  <w:style w:type="paragraph" w:customStyle="1" w:styleId="Footnotenumbered">
    <w:name w:val="Footnote numbered"/>
    <w:basedOn w:val="Normal"/>
    <w:next w:val="Normal"/>
    <w:qFormat/>
    <w:rsid w:val="007B495C"/>
    <w:pPr>
      <w:numPr>
        <w:numId w:val="2"/>
      </w:numPr>
      <w:spacing w:after="0"/>
    </w:pPr>
    <w:rPr>
      <w:rFonts w:cs="Arial"/>
      <w:color w:val="0D0D0D" w:themeColor="text1" w:themeTint="F2"/>
      <w:sz w:val="22"/>
    </w:rPr>
  </w:style>
  <w:style w:type="character" w:customStyle="1" w:styleId="Bold">
    <w:name w:val="Bold"/>
    <w:basedOn w:val="DefaultParagraphFont"/>
    <w:uiPriority w:val="1"/>
    <w:qFormat/>
    <w:rsid w:val="00045D32"/>
    <w:rPr>
      <w:rFonts w:cs="Arial"/>
      <w:b/>
      <w:color w:val="auto"/>
    </w:rPr>
  </w:style>
  <w:style w:type="paragraph" w:customStyle="1" w:styleId="Hyperlink1">
    <w:name w:val="Hyperlink1"/>
    <w:basedOn w:val="Normal"/>
    <w:next w:val="Normal"/>
    <w:link w:val="hyperlinkChar"/>
    <w:autoRedefine/>
    <w:semiHidden/>
    <w:qFormat/>
    <w:locked/>
    <w:rsid w:val="00021AE4"/>
    <w:pPr>
      <w:spacing w:after="120" w:line="320" w:lineRule="exact"/>
    </w:pPr>
    <w:rPr>
      <w:color w:val="964091"/>
      <w:u w:val="single"/>
    </w:rPr>
  </w:style>
  <w:style w:type="character" w:customStyle="1" w:styleId="hyperlinkChar">
    <w:name w:val="hyperlink Char"/>
    <w:basedOn w:val="DefaultParagraphFont"/>
    <w:link w:val="Hyperlink1"/>
    <w:semiHidden/>
    <w:rsid w:val="007F23D8"/>
    <w:rPr>
      <w:rFonts w:ascii="Arial" w:hAnsi="Arial"/>
      <w:color w:val="964091"/>
      <w:sz w:val="24"/>
      <w:u w:val="single"/>
    </w:rPr>
  </w:style>
  <w:style w:type="paragraph" w:customStyle="1" w:styleId="Coverdisclaimer">
    <w:name w:val="Cover disclaimer"/>
    <w:basedOn w:val="Normal"/>
    <w:qFormat/>
    <w:rsid w:val="00B12D41"/>
    <w:pPr>
      <w:spacing w:after="120"/>
      <w:ind w:left="567"/>
    </w:pPr>
    <w:rPr>
      <w:rFonts w:cs="Arial"/>
      <w:bCs/>
    </w:rPr>
  </w:style>
  <w:style w:type="paragraph" w:styleId="TOCHeading">
    <w:name w:val="TOC Heading"/>
    <w:basedOn w:val="Heading1"/>
    <w:next w:val="Normal"/>
    <w:uiPriority w:val="39"/>
    <w:unhideWhenUsed/>
    <w:qFormat/>
    <w:rsid w:val="000D322E"/>
    <w:pPr>
      <w:spacing w:before="480" w:after="120" w:line="259" w:lineRule="auto"/>
      <w:outlineLvl w:val="9"/>
    </w:pPr>
    <w:rPr>
      <w:sz w:val="32"/>
      <w:szCs w:val="32"/>
      <w:lang w:val="en-US"/>
    </w:rPr>
  </w:style>
  <w:style w:type="character" w:styleId="Hyperlink">
    <w:name w:val="Hyperlink"/>
    <w:basedOn w:val="DefaultParagraphFont"/>
    <w:uiPriority w:val="99"/>
    <w:rsid w:val="007F23D8"/>
    <w:rPr>
      <w:b/>
      <w:bCs/>
      <w:color w:val="964091"/>
      <w:u w:val="single"/>
    </w:rPr>
  </w:style>
  <w:style w:type="character" w:customStyle="1" w:styleId="UnresolvedMention1">
    <w:name w:val="Unresolved Mention1"/>
    <w:basedOn w:val="DefaultParagraphFont"/>
    <w:uiPriority w:val="99"/>
    <w:semiHidden/>
    <w:locked/>
    <w:rsid w:val="007F23D8"/>
    <w:rPr>
      <w:color w:val="605E5C"/>
      <w:shd w:val="clear" w:color="auto" w:fill="E1DFDD"/>
    </w:rPr>
  </w:style>
  <w:style w:type="paragraph" w:styleId="TOC1">
    <w:name w:val="toc 1"/>
    <w:basedOn w:val="Normal"/>
    <w:next w:val="Normal"/>
    <w:autoRedefine/>
    <w:uiPriority w:val="39"/>
    <w:rsid w:val="000D322E"/>
    <w:pPr>
      <w:spacing w:after="100"/>
    </w:pPr>
  </w:style>
  <w:style w:type="paragraph" w:styleId="TOC2">
    <w:name w:val="toc 2"/>
    <w:basedOn w:val="Normal"/>
    <w:next w:val="Normal"/>
    <w:autoRedefine/>
    <w:uiPriority w:val="39"/>
    <w:rsid w:val="000D322E"/>
    <w:pPr>
      <w:spacing w:after="100"/>
      <w:ind w:left="240"/>
    </w:pPr>
  </w:style>
  <w:style w:type="paragraph" w:styleId="TOC3">
    <w:name w:val="toc 3"/>
    <w:basedOn w:val="Normal"/>
    <w:next w:val="Normal"/>
    <w:autoRedefine/>
    <w:uiPriority w:val="39"/>
    <w:rsid w:val="000D322E"/>
    <w:pPr>
      <w:spacing w:after="100"/>
      <w:ind w:left="480"/>
    </w:pPr>
  </w:style>
  <w:style w:type="paragraph" w:styleId="TOC4">
    <w:name w:val="toc 4"/>
    <w:basedOn w:val="Normal"/>
    <w:next w:val="Normal"/>
    <w:autoRedefine/>
    <w:uiPriority w:val="39"/>
    <w:rsid w:val="000D322E"/>
    <w:pPr>
      <w:spacing w:after="100"/>
      <w:ind w:left="720"/>
    </w:pPr>
  </w:style>
  <w:style w:type="paragraph" w:customStyle="1" w:styleId="Heading1numbered">
    <w:name w:val="Heading 1 numbered"/>
    <w:basedOn w:val="Heading1"/>
    <w:link w:val="Heading1numberedChar"/>
    <w:qFormat/>
    <w:rsid w:val="00174930"/>
    <w:pPr>
      <w:numPr>
        <w:numId w:val="3"/>
      </w:numPr>
    </w:pPr>
  </w:style>
  <w:style w:type="paragraph" w:customStyle="1" w:styleId="Heading2numbered">
    <w:name w:val="Heading 2 numbered"/>
    <w:basedOn w:val="Heading2"/>
    <w:link w:val="Heading2numberedChar"/>
    <w:qFormat/>
    <w:rsid w:val="00174930"/>
    <w:pPr>
      <w:numPr>
        <w:ilvl w:val="1"/>
        <w:numId w:val="3"/>
      </w:numPr>
    </w:pPr>
  </w:style>
  <w:style w:type="paragraph" w:customStyle="1" w:styleId="Normalindented">
    <w:name w:val="Normal indented"/>
    <w:basedOn w:val="Normal"/>
    <w:qFormat/>
    <w:rsid w:val="00A17961"/>
    <w:pPr>
      <w:ind w:left="851"/>
    </w:pPr>
  </w:style>
  <w:style w:type="paragraph" w:customStyle="1" w:styleId="Heading3numbered">
    <w:name w:val="Heading 3 numbered"/>
    <w:basedOn w:val="Heading3"/>
    <w:link w:val="Heading3numberedChar"/>
    <w:qFormat/>
    <w:rsid w:val="00923306"/>
    <w:pPr>
      <w:numPr>
        <w:ilvl w:val="2"/>
        <w:numId w:val="3"/>
      </w:numPr>
    </w:pPr>
  </w:style>
  <w:style w:type="paragraph" w:customStyle="1" w:styleId="Heading4numbered">
    <w:name w:val="Heading 4 numbered"/>
    <w:basedOn w:val="Heading4"/>
    <w:link w:val="Heading4numberedChar"/>
    <w:qFormat/>
    <w:rsid w:val="00174930"/>
    <w:pPr>
      <w:numPr>
        <w:ilvl w:val="3"/>
        <w:numId w:val="3"/>
      </w:numPr>
    </w:pPr>
    <w:rPr>
      <w:bCs/>
      <w:sz w:val="24"/>
      <w:szCs w:val="22"/>
    </w:rPr>
  </w:style>
  <w:style w:type="paragraph" w:styleId="FootnoteText">
    <w:name w:val="footnote text"/>
    <w:basedOn w:val="Normal"/>
    <w:link w:val="FootnoteTextChar"/>
    <w:uiPriority w:val="99"/>
    <w:semiHidden/>
    <w:locked/>
    <w:rsid w:val="00526937"/>
    <w:pPr>
      <w:spacing w:after="0"/>
    </w:pPr>
    <w:rPr>
      <w:sz w:val="20"/>
      <w:szCs w:val="20"/>
    </w:rPr>
  </w:style>
  <w:style w:type="character" w:customStyle="1" w:styleId="FootnoteTextChar">
    <w:name w:val="Footnote Text Char"/>
    <w:basedOn w:val="DefaultParagraphFont"/>
    <w:link w:val="FootnoteText"/>
    <w:uiPriority w:val="99"/>
    <w:semiHidden/>
    <w:rsid w:val="00526937"/>
    <w:rPr>
      <w:rFonts w:ascii="Arial" w:hAnsi="Arial"/>
      <w:sz w:val="20"/>
      <w:szCs w:val="20"/>
    </w:rPr>
  </w:style>
  <w:style w:type="character" w:styleId="FootnoteReference">
    <w:name w:val="footnote reference"/>
    <w:basedOn w:val="DefaultParagraphFont"/>
    <w:uiPriority w:val="99"/>
    <w:semiHidden/>
    <w:locked/>
    <w:rsid w:val="00526937"/>
    <w:rPr>
      <w:vertAlign w:val="superscript"/>
    </w:rPr>
  </w:style>
  <w:style w:type="character" w:customStyle="1" w:styleId="yellowhighlight">
    <w:name w:val="*yellow highlight"/>
    <w:basedOn w:val="DefaultParagraphFont"/>
    <w:uiPriority w:val="1"/>
    <w:qFormat/>
    <w:rsid w:val="00FF0673"/>
    <w:rPr>
      <w:bdr w:val="none" w:sz="0" w:space="0" w:color="auto"/>
      <w:shd w:val="clear" w:color="auto" w:fill="FFFF00"/>
    </w:rPr>
  </w:style>
  <w:style w:type="character" w:customStyle="1" w:styleId="yellowbold">
    <w:name w:val="*yellow bold"/>
    <w:basedOn w:val="DefaultParagraphFont"/>
    <w:uiPriority w:val="1"/>
    <w:qFormat/>
    <w:rsid w:val="00FF0673"/>
    <w:rPr>
      <w:b/>
      <w:bdr w:val="none" w:sz="0" w:space="0" w:color="auto"/>
      <w:shd w:val="clear" w:color="auto" w:fill="FFFF00"/>
    </w:rPr>
  </w:style>
  <w:style w:type="character" w:customStyle="1" w:styleId="yellowhyperlink">
    <w:name w:val="*yellow hyperlink"/>
    <w:basedOn w:val="DefaultParagraphFont"/>
    <w:uiPriority w:val="1"/>
    <w:qFormat/>
    <w:rsid w:val="00FF0673"/>
    <w:rPr>
      <w:b/>
      <w:color w:val="964091"/>
      <w:u w:val="single"/>
      <w:bdr w:val="none" w:sz="0" w:space="0" w:color="auto"/>
      <w:shd w:val="clear" w:color="auto" w:fill="FFFF00"/>
    </w:rPr>
  </w:style>
  <w:style w:type="character" w:customStyle="1" w:styleId="greyheadings">
    <w:name w:val="*grey headings"/>
    <w:basedOn w:val="DefaultParagraphFont"/>
    <w:uiPriority w:val="1"/>
    <w:qFormat/>
    <w:rsid w:val="00780900"/>
    <w:rPr>
      <w:bdr w:val="none" w:sz="0" w:space="0" w:color="auto"/>
      <w:shd w:val="clear" w:color="auto" w:fill="D9D9D9" w:themeFill="background1" w:themeFillShade="D9"/>
    </w:rPr>
  </w:style>
  <w:style w:type="character" w:customStyle="1" w:styleId="yellowheadings">
    <w:name w:val="*yellow headings"/>
    <w:basedOn w:val="DefaultParagraphFont"/>
    <w:uiPriority w:val="1"/>
    <w:qFormat/>
    <w:rsid w:val="00780900"/>
    <w:rPr>
      <w:bdr w:val="none" w:sz="0" w:space="0" w:color="auto"/>
      <w:shd w:val="clear" w:color="auto" w:fill="FFFF00"/>
    </w:rPr>
  </w:style>
  <w:style w:type="character" w:customStyle="1" w:styleId="greyhighlight">
    <w:name w:val="*grey highlight"/>
    <w:basedOn w:val="DefaultParagraphFont"/>
    <w:uiPriority w:val="1"/>
    <w:qFormat/>
    <w:rsid w:val="00780900"/>
    <w:rPr>
      <w:bdr w:val="none" w:sz="0" w:space="0" w:color="auto"/>
      <w:shd w:val="clear" w:color="auto" w:fill="D9D9D9" w:themeFill="background1" w:themeFillShade="D9"/>
    </w:rPr>
  </w:style>
  <w:style w:type="character" w:customStyle="1" w:styleId="greyhyperlink">
    <w:name w:val="*grey hyperlink"/>
    <w:basedOn w:val="DefaultParagraphFont"/>
    <w:uiPriority w:val="1"/>
    <w:qFormat/>
    <w:rsid w:val="00780900"/>
    <w:rPr>
      <w:b/>
      <w:color w:val="964091"/>
      <w:u w:val="single"/>
      <w:bdr w:val="none" w:sz="0" w:space="0" w:color="auto"/>
      <w:shd w:val="clear" w:color="auto" w:fill="D9D9D9" w:themeFill="background1" w:themeFillShade="D9"/>
    </w:rPr>
  </w:style>
  <w:style w:type="character" w:customStyle="1" w:styleId="greybold">
    <w:name w:val="*grey bold"/>
    <w:basedOn w:val="DefaultParagraphFont"/>
    <w:uiPriority w:val="1"/>
    <w:qFormat/>
    <w:rsid w:val="00780900"/>
    <w:rPr>
      <w:b/>
      <w:bdr w:val="none" w:sz="0" w:space="0" w:color="auto"/>
      <w:shd w:val="clear" w:color="auto" w:fill="D9D9D9" w:themeFill="background1" w:themeFillShade="D9"/>
    </w:rPr>
  </w:style>
  <w:style w:type="paragraph" w:customStyle="1" w:styleId="Bullet3">
    <w:name w:val="Bullet 3"/>
    <w:basedOn w:val="Bullet2"/>
    <w:qFormat/>
    <w:rsid w:val="00E64829"/>
    <w:pPr>
      <w:numPr>
        <w:numId w:val="6"/>
      </w:numPr>
      <w:ind w:left="1891"/>
    </w:pPr>
  </w:style>
  <w:style w:type="paragraph" w:customStyle="1" w:styleId="Bulletnumbered1">
    <w:name w:val="Bullet numbered 1"/>
    <w:basedOn w:val="Normal"/>
    <w:qFormat/>
    <w:rsid w:val="00A578D8"/>
    <w:pPr>
      <w:numPr>
        <w:numId w:val="7"/>
      </w:numPr>
      <w:ind w:left="794" w:hanging="397"/>
    </w:pPr>
  </w:style>
  <w:style w:type="paragraph" w:customStyle="1" w:styleId="Bulletnumbered2abc">
    <w:name w:val="Bullet numbered 2 (abc)"/>
    <w:basedOn w:val="Bulletnumbered1"/>
    <w:qFormat/>
    <w:rsid w:val="00A578D8"/>
    <w:pPr>
      <w:numPr>
        <w:ilvl w:val="1"/>
      </w:numPr>
      <w:ind w:left="1474" w:hanging="397"/>
    </w:pPr>
  </w:style>
  <w:style w:type="character" w:styleId="FollowedHyperlink">
    <w:name w:val="FollowedHyperlink"/>
    <w:basedOn w:val="Hyperlink"/>
    <w:uiPriority w:val="99"/>
    <w:rsid w:val="003B2541"/>
    <w:rPr>
      <w:b/>
      <w:bCs/>
      <w:color w:val="964091"/>
      <w:u w:val="single"/>
    </w:rPr>
  </w:style>
  <w:style w:type="character" w:customStyle="1" w:styleId="Heading1numberedChar">
    <w:name w:val="Heading 1 numbered Char"/>
    <w:basedOn w:val="Heading1Char"/>
    <w:link w:val="Heading1numbered"/>
    <w:rsid w:val="004F3F88"/>
    <w:rPr>
      <w:rFonts w:ascii="Arial" w:eastAsiaTheme="majorEastAsia" w:hAnsi="Arial" w:cstheme="majorBidi"/>
      <w:b/>
      <w:color w:val="43358B"/>
      <w:sz w:val="36"/>
      <w:szCs w:val="36"/>
    </w:rPr>
  </w:style>
  <w:style w:type="character" w:customStyle="1" w:styleId="Heading2numberedChar">
    <w:name w:val="Heading 2 numbered Char"/>
    <w:basedOn w:val="Heading2Char"/>
    <w:link w:val="Heading2numbered"/>
    <w:rsid w:val="004F3F88"/>
    <w:rPr>
      <w:rFonts w:ascii="Arial" w:eastAsiaTheme="majorEastAsia" w:hAnsi="Arial" w:cstheme="majorBidi"/>
      <w:b/>
      <w:color w:val="595959" w:themeColor="text1" w:themeTint="A6"/>
      <w:sz w:val="32"/>
      <w:szCs w:val="32"/>
    </w:rPr>
  </w:style>
  <w:style w:type="character" w:customStyle="1" w:styleId="Heading3numberedChar">
    <w:name w:val="Heading 3 numbered Char"/>
    <w:basedOn w:val="Heading3Char"/>
    <w:link w:val="Heading3numbered"/>
    <w:rsid w:val="00923306"/>
    <w:rPr>
      <w:rFonts w:ascii="Arial" w:eastAsiaTheme="majorEastAsia" w:hAnsi="Arial" w:cs="Arial"/>
      <w:b/>
      <w:bCs/>
      <w:color w:val="595959" w:themeColor="text1" w:themeTint="A6"/>
      <w:sz w:val="28"/>
      <w:szCs w:val="28"/>
    </w:rPr>
  </w:style>
  <w:style w:type="character" w:customStyle="1" w:styleId="Heading4numberedChar">
    <w:name w:val="Heading 4 numbered Char"/>
    <w:basedOn w:val="Heading4Char"/>
    <w:link w:val="Heading4numbered"/>
    <w:rsid w:val="004F3F88"/>
    <w:rPr>
      <w:rFonts w:ascii="Arial" w:eastAsiaTheme="majorEastAsia" w:hAnsi="Arial" w:cs="Arial"/>
      <w:b/>
      <w:bCs w:val="0"/>
      <w:color w:val="595959" w:themeColor="text1" w:themeTint="A6"/>
      <w:sz w:val="24"/>
      <w:szCs w:val="28"/>
    </w:rPr>
  </w:style>
  <w:style w:type="paragraph" w:customStyle="1" w:styleId="Tablebullet1">
    <w:name w:val="Table bullet 1"/>
    <w:basedOn w:val="TableBody"/>
    <w:qFormat/>
    <w:rsid w:val="00903E88"/>
    <w:pPr>
      <w:numPr>
        <w:numId w:val="8"/>
      </w:numPr>
      <w:ind w:left="454" w:hanging="227"/>
    </w:pPr>
  </w:style>
  <w:style w:type="paragraph" w:customStyle="1" w:styleId="tablebullet20">
    <w:name w:val="table bullet 2"/>
    <w:basedOn w:val="Tablebullet1"/>
    <w:qFormat/>
    <w:rsid w:val="00903E88"/>
  </w:style>
  <w:style w:type="paragraph" w:customStyle="1" w:styleId="Tablebullet2">
    <w:name w:val="Table bullet 2"/>
    <w:basedOn w:val="Tablebullet1"/>
    <w:qFormat/>
    <w:rsid w:val="00903E88"/>
    <w:pPr>
      <w:numPr>
        <w:ilvl w:val="1"/>
      </w:numPr>
      <w:ind w:left="681" w:hanging="227"/>
    </w:pPr>
  </w:style>
  <w:style w:type="paragraph" w:customStyle="1" w:styleId="Tablebodyrightaligned">
    <w:name w:val="Table body right aligned"/>
    <w:basedOn w:val="TableBody"/>
    <w:qFormat/>
    <w:rsid w:val="00903E88"/>
    <w:pPr>
      <w:jc w:val="right"/>
    </w:pPr>
  </w:style>
  <w:style w:type="paragraph" w:customStyle="1" w:styleId="References">
    <w:name w:val="References"/>
    <w:basedOn w:val="ListParagraph"/>
    <w:qFormat/>
    <w:rsid w:val="00B600BD"/>
    <w:pPr>
      <w:spacing w:after="120"/>
      <w:ind w:left="851" w:hanging="284"/>
    </w:pPr>
  </w:style>
  <w:style w:type="paragraph" w:customStyle="1" w:styleId="Footnotenonumbers">
    <w:name w:val="Footnote no numbers"/>
    <w:basedOn w:val="Footnotenumbered"/>
    <w:qFormat/>
    <w:rsid w:val="00F44284"/>
    <w:pPr>
      <w:numPr>
        <w:numId w:val="0"/>
      </w:numPr>
      <w:tabs>
        <w:tab w:val="left" w:pos="709"/>
      </w:tabs>
      <w:ind w:left="357" w:hanging="357"/>
    </w:pPr>
  </w:style>
  <w:style w:type="paragraph" w:customStyle="1" w:styleId="Pagenumbers">
    <w:name w:val="Page numbers"/>
    <w:basedOn w:val="Footer"/>
    <w:qFormat/>
    <w:rsid w:val="004A2807"/>
    <w:pPr>
      <w:pBdr>
        <w:top w:val="single" w:sz="6" w:space="3" w:color="964091"/>
      </w:pBdr>
      <w:jc w:val="center"/>
    </w:pPr>
  </w:style>
  <w:style w:type="paragraph" w:customStyle="1" w:styleId="Coverfooter">
    <w:name w:val="Cover footer"/>
    <w:basedOn w:val="Normal"/>
    <w:qFormat/>
    <w:rsid w:val="0040598E"/>
    <w:pPr>
      <w:spacing w:before="360" w:after="0" w:line="240" w:lineRule="auto"/>
      <w:jc w:val="center"/>
    </w:pPr>
    <w:rPr>
      <w:rFonts w:cs="Arial"/>
      <w:b/>
      <w:color w:val="FFFFFF" w:themeColor="background1"/>
      <w:position w:val="-28"/>
      <w:sz w:val="28"/>
    </w:rPr>
  </w:style>
  <w:style w:type="character" w:customStyle="1" w:styleId="Italic">
    <w:name w:val="Italic"/>
    <w:basedOn w:val="DefaultParagraphFont"/>
    <w:uiPriority w:val="1"/>
    <w:qFormat/>
    <w:rsid w:val="0033574C"/>
    <w:rPr>
      <w:i/>
    </w:rPr>
  </w:style>
  <w:style w:type="character" w:customStyle="1" w:styleId="Bolditalic">
    <w:name w:val="Bold italic"/>
    <w:basedOn w:val="Italic"/>
    <w:uiPriority w:val="1"/>
    <w:qFormat/>
    <w:rsid w:val="0033574C"/>
    <w:rPr>
      <w:b/>
      <w:i/>
    </w:rPr>
  </w:style>
  <w:style w:type="paragraph" w:customStyle="1" w:styleId="Bulletted">
    <w:name w:val="Bulletted"/>
    <w:basedOn w:val="Normal"/>
    <w:next w:val="Normal"/>
    <w:rsid w:val="00F22B32"/>
    <w:pPr>
      <w:numPr>
        <w:numId w:val="1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locked/>
    <w:rsid w:val="00792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FF"/>
    <w:rPr>
      <w:rFonts w:ascii="Segoe UI" w:hAnsi="Segoe UI" w:cs="Segoe UI"/>
      <w:sz w:val="18"/>
      <w:szCs w:val="18"/>
    </w:rPr>
  </w:style>
  <w:style w:type="paragraph" w:styleId="CommentText">
    <w:name w:val="annotation text"/>
    <w:basedOn w:val="Normal"/>
    <w:link w:val="CommentTextChar"/>
    <w:semiHidden/>
    <w:locked/>
    <w:rsid w:val="00FF5439"/>
    <w:pPr>
      <w:spacing w:line="240" w:lineRule="auto"/>
    </w:pPr>
    <w:rPr>
      <w:sz w:val="20"/>
      <w:szCs w:val="20"/>
    </w:rPr>
  </w:style>
  <w:style w:type="character" w:customStyle="1" w:styleId="CommentTextChar">
    <w:name w:val="Comment Text Char"/>
    <w:basedOn w:val="DefaultParagraphFont"/>
    <w:link w:val="CommentText"/>
    <w:semiHidden/>
    <w:rsid w:val="00FF5439"/>
    <w:rPr>
      <w:rFonts w:ascii="Arial" w:hAnsi="Arial"/>
      <w:sz w:val="20"/>
      <w:szCs w:val="20"/>
    </w:rPr>
  </w:style>
  <w:style w:type="character" w:styleId="CommentReference">
    <w:name w:val="annotation reference"/>
    <w:basedOn w:val="DefaultParagraphFont"/>
    <w:semiHidden/>
    <w:locked/>
    <w:rsid w:val="00FF5439"/>
    <w:rPr>
      <w:sz w:val="16"/>
      <w:szCs w:val="16"/>
    </w:rPr>
  </w:style>
  <w:style w:type="paragraph" w:styleId="CommentSubject">
    <w:name w:val="annotation subject"/>
    <w:basedOn w:val="CommentText"/>
    <w:next w:val="CommentText"/>
    <w:link w:val="CommentSubjectChar"/>
    <w:uiPriority w:val="99"/>
    <w:semiHidden/>
    <w:unhideWhenUsed/>
    <w:locked/>
    <w:rsid w:val="00161AD3"/>
    <w:rPr>
      <w:b/>
      <w:bCs/>
    </w:rPr>
  </w:style>
  <w:style w:type="character" w:customStyle="1" w:styleId="CommentSubjectChar">
    <w:name w:val="Comment Subject Char"/>
    <w:basedOn w:val="CommentTextChar"/>
    <w:link w:val="CommentSubject"/>
    <w:uiPriority w:val="99"/>
    <w:semiHidden/>
    <w:rsid w:val="00161AD3"/>
    <w:rPr>
      <w:rFonts w:ascii="Arial" w:hAnsi="Arial"/>
      <w:b/>
      <w:bCs/>
      <w:sz w:val="20"/>
      <w:szCs w:val="20"/>
    </w:rPr>
  </w:style>
  <w:style w:type="paragraph" w:customStyle="1" w:styleId="Default">
    <w:name w:val="Default"/>
    <w:rsid w:val="005D5EFB"/>
    <w:pPr>
      <w:autoSpaceDE w:val="0"/>
      <w:autoSpaceDN w:val="0"/>
      <w:adjustRightInd w:val="0"/>
      <w:spacing w:after="0" w:line="240" w:lineRule="auto"/>
    </w:pPr>
    <w:rPr>
      <w:rFonts w:ascii="Cambria" w:hAnsi="Cambria" w:cs="Cambria"/>
      <w:color w:val="000000"/>
      <w:sz w:val="24"/>
      <w:szCs w:val="24"/>
    </w:rPr>
  </w:style>
  <w:style w:type="paragraph" w:customStyle="1" w:styleId="Pa3">
    <w:name w:val="Pa3"/>
    <w:basedOn w:val="Default"/>
    <w:next w:val="Default"/>
    <w:uiPriority w:val="99"/>
    <w:rsid w:val="00F15EFA"/>
    <w:pPr>
      <w:spacing w:line="241" w:lineRule="atLeast"/>
    </w:pPr>
    <w:rPr>
      <w:rFonts w:ascii="Frutiger 45 Light" w:hAnsi="Frutiger 45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4878">
      <w:bodyDiv w:val="1"/>
      <w:marLeft w:val="0"/>
      <w:marRight w:val="0"/>
      <w:marTop w:val="0"/>
      <w:marBottom w:val="0"/>
      <w:divBdr>
        <w:top w:val="none" w:sz="0" w:space="0" w:color="auto"/>
        <w:left w:val="none" w:sz="0" w:space="0" w:color="auto"/>
        <w:bottom w:val="none" w:sz="0" w:space="0" w:color="auto"/>
        <w:right w:val="none" w:sz="0" w:space="0" w:color="auto"/>
      </w:divBdr>
    </w:div>
    <w:div w:id="742459058">
      <w:bodyDiv w:val="1"/>
      <w:marLeft w:val="0"/>
      <w:marRight w:val="0"/>
      <w:marTop w:val="0"/>
      <w:marBottom w:val="0"/>
      <w:divBdr>
        <w:top w:val="none" w:sz="0" w:space="0" w:color="auto"/>
        <w:left w:val="none" w:sz="0" w:space="0" w:color="auto"/>
        <w:bottom w:val="none" w:sz="0" w:space="0" w:color="auto"/>
        <w:right w:val="none" w:sz="0" w:space="0" w:color="auto"/>
      </w:divBdr>
    </w:div>
    <w:div w:id="914318857">
      <w:bodyDiv w:val="1"/>
      <w:marLeft w:val="0"/>
      <w:marRight w:val="0"/>
      <w:marTop w:val="0"/>
      <w:marBottom w:val="0"/>
      <w:divBdr>
        <w:top w:val="none" w:sz="0" w:space="0" w:color="auto"/>
        <w:left w:val="none" w:sz="0" w:space="0" w:color="auto"/>
        <w:bottom w:val="none" w:sz="0" w:space="0" w:color="auto"/>
        <w:right w:val="none" w:sz="0" w:space="0" w:color="auto"/>
      </w:divBdr>
    </w:div>
    <w:div w:id="1348361036">
      <w:bodyDiv w:val="1"/>
      <w:marLeft w:val="0"/>
      <w:marRight w:val="0"/>
      <w:marTop w:val="0"/>
      <w:marBottom w:val="0"/>
      <w:divBdr>
        <w:top w:val="none" w:sz="0" w:space="0" w:color="auto"/>
        <w:left w:val="none" w:sz="0" w:space="0" w:color="auto"/>
        <w:bottom w:val="none" w:sz="0" w:space="0" w:color="auto"/>
        <w:right w:val="none" w:sz="0" w:space="0" w:color="auto"/>
      </w:divBdr>
    </w:div>
    <w:div w:id="1662125056">
      <w:bodyDiv w:val="1"/>
      <w:marLeft w:val="0"/>
      <w:marRight w:val="0"/>
      <w:marTop w:val="0"/>
      <w:marBottom w:val="0"/>
      <w:divBdr>
        <w:top w:val="none" w:sz="0" w:space="0" w:color="auto"/>
        <w:left w:val="none" w:sz="0" w:space="0" w:color="auto"/>
        <w:bottom w:val="none" w:sz="0" w:space="0" w:color="auto"/>
        <w:right w:val="none" w:sz="0" w:space="0" w:color="auto"/>
      </w:divBdr>
    </w:div>
    <w:div w:id="1803764316">
      <w:bodyDiv w:val="1"/>
      <w:marLeft w:val="0"/>
      <w:marRight w:val="0"/>
      <w:marTop w:val="0"/>
      <w:marBottom w:val="0"/>
      <w:divBdr>
        <w:top w:val="none" w:sz="0" w:space="0" w:color="auto"/>
        <w:left w:val="none" w:sz="0" w:space="0" w:color="auto"/>
        <w:bottom w:val="none" w:sz="0" w:space="0" w:color="auto"/>
        <w:right w:val="none" w:sz="0" w:space="0" w:color="auto"/>
      </w:divBdr>
    </w:div>
    <w:div w:id="1865971075">
      <w:bodyDiv w:val="1"/>
      <w:marLeft w:val="0"/>
      <w:marRight w:val="0"/>
      <w:marTop w:val="0"/>
      <w:marBottom w:val="0"/>
      <w:divBdr>
        <w:top w:val="none" w:sz="0" w:space="0" w:color="auto"/>
        <w:left w:val="none" w:sz="0" w:space="0" w:color="auto"/>
        <w:bottom w:val="none" w:sz="0" w:space="0" w:color="auto"/>
        <w:right w:val="none" w:sz="0" w:space="0" w:color="auto"/>
      </w:divBdr>
    </w:div>
    <w:div w:id="2125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ronavirus-yellowcard.mhra.gov.uk/" TargetMode="External"/><Relationship Id="rId18" Type="http://schemas.openxmlformats.org/officeDocument/2006/relationships/hyperlink" Target="https://www.gov.uk/government/publications/covid-19-the-green-book-chapter-14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arn.nes.nhs.scot/37676/immunisation/covid-19-vaccines" TargetMode="External"/><Relationship Id="rId7" Type="http://schemas.openxmlformats.org/officeDocument/2006/relationships/endnotes" Target="endnotes.xml"/><Relationship Id="rId12" Type="http://schemas.openxmlformats.org/officeDocument/2006/relationships/hyperlink" Target="https://coronavirus-yellowcard.mhra.gov.uk/" TargetMode="External"/><Relationship Id="rId17" Type="http://schemas.openxmlformats.org/officeDocument/2006/relationships/hyperlink" Target="https://www.gov.uk/government/organisations/public-health-england/series/immunisation-against-infectious-disease-the-green-boo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learn.nes.nhs.scot/37676/immunisation/covid-19-vaccines" TargetMode="External"/><Relationship Id="rId20" Type="http://schemas.openxmlformats.org/officeDocument/2006/relationships/hyperlink" Target="https://www.gov.uk/government/publications/regulatory-approval-of-covid-19-vaccine-astrazen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vid-shielding/pages/highest-risk-classific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yellowcard.mhra.gov.uk"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gov.uk/government/publications/priority-groups-for-coronavirus-covid-19-vaccination-advice-from-the-jcvi-30-december-20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oronavirus-yellowcard.mhra.gov.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D1AD27DE6F4CB2839AF8A0C98274B7"/>
        <w:category>
          <w:name w:val="General"/>
          <w:gallery w:val="placeholder"/>
        </w:category>
        <w:types>
          <w:type w:val="bbPlcHdr"/>
        </w:types>
        <w:behaviors>
          <w:behavior w:val="content"/>
        </w:behaviors>
        <w:guid w:val="{34EBF1A0-4A59-4A4F-A08F-678EA0AC23D1}"/>
      </w:docPartPr>
      <w:docPartBody>
        <w:p w:rsidR="002A6338" w:rsidRDefault="002D7EC4" w:rsidP="002D7EC4">
          <w:pPr>
            <w:pStyle w:val="51D1AD27DE6F4CB2839AF8A0C98274B7"/>
          </w:pPr>
          <w:r w:rsidRPr="002519C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C4"/>
    <w:rsid w:val="0001554D"/>
    <w:rsid w:val="00060142"/>
    <w:rsid w:val="00096C20"/>
    <w:rsid w:val="000A299F"/>
    <w:rsid w:val="0014589C"/>
    <w:rsid w:val="001621B7"/>
    <w:rsid w:val="001A07C0"/>
    <w:rsid w:val="002836B2"/>
    <w:rsid w:val="002A6338"/>
    <w:rsid w:val="002D7EC4"/>
    <w:rsid w:val="003117FE"/>
    <w:rsid w:val="00357BF1"/>
    <w:rsid w:val="00381507"/>
    <w:rsid w:val="00384DEB"/>
    <w:rsid w:val="00394064"/>
    <w:rsid w:val="00411B97"/>
    <w:rsid w:val="00415CC5"/>
    <w:rsid w:val="00424A7D"/>
    <w:rsid w:val="004337F1"/>
    <w:rsid w:val="004B49C4"/>
    <w:rsid w:val="004D024D"/>
    <w:rsid w:val="004E57FE"/>
    <w:rsid w:val="00614C97"/>
    <w:rsid w:val="00704F4C"/>
    <w:rsid w:val="00727D54"/>
    <w:rsid w:val="0073466E"/>
    <w:rsid w:val="0073623C"/>
    <w:rsid w:val="00763B76"/>
    <w:rsid w:val="007A5809"/>
    <w:rsid w:val="007B2BB2"/>
    <w:rsid w:val="007C5614"/>
    <w:rsid w:val="00813F77"/>
    <w:rsid w:val="00897273"/>
    <w:rsid w:val="008C36F0"/>
    <w:rsid w:val="009165A1"/>
    <w:rsid w:val="0092135C"/>
    <w:rsid w:val="0095257B"/>
    <w:rsid w:val="00954709"/>
    <w:rsid w:val="00970DFE"/>
    <w:rsid w:val="00990F47"/>
    <w:rsid w:val="009A04E8"/>
    <w:rsid w:val="009B08F1"/>
    <w:rsid w:val="00A246B2"/>
    <w:rsid w:val="00A64F06"/>
    <w:rsid w:val="00AA0078"/>
    <w:rsid w:val="00AF4AED"/>
    <w:rsid w:val="00B173B8"/>
    <w:rsid w:val="00B42586"/>
    <w:rsid w:val="00B57F36"/>
    <w:rsid w:val="00B72138"/>
    <w:rsid w:val="00B8764B"/>
    <w:rsid w:val="00C21599"/>
    <w:rsid w:val="00CF3953"/>
    <w:rsid w:val="00D02DC5"/>
    <w:rsid w:val="00D9597B"/>
    <w:rsid w:val="00DB3C51"/>
    <w:rsid w:val="00E24986"/>
    <w:rsid w:val="00EB3F43"/>
    <w:rsid w:val="00F700A9"/>
    <w:rsid w:val="00F72C8A"/>
    <w:rsid w:val="00F82B83"/>
    <w:rsid w:val="00F95BD9"/>
    <w:rsid w:val="00FA7D16"/>
    <w:rsid w:val="00FE0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EC4"/>
    <w:rPr>
      <w:color w:val="808080"/>
    </w:rPr>
  </w:style>
  <w:style w:type="paragraph" w:customStyle="1" w:styleId="51D1AD27DE6F4CB2839AF8A0C98274B7">
    <w:name w:val="51D1AD27DE6F4CB2839AF8A0C98274B7"/>
    <w:rsid w:val="002D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3B33-7C02-4458-A732-4FC4CB92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4992</Words>
  <Characters>28461</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Patient Group Direction (PGD) Template</vt:lpstr>
    </vt:vector>
  </TitlesOfParts>
  <Company/>
  <LinksUpToDate>false</LinksUpToDate>
  <CharactersWithSpaces>33387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Group Direction (PGD) Template</dc:title>
  <dc:subject>vaccines, immunisation</dc:subject>
  <dc:creator>Public Health Scotland</dc:creator>
  <cp:keywords>vaccines, immunisation</cp:keywords>
  <dc:description/>
  <cp:lastModifiedBy>Jackson, Karleen</cp:lastModifiedBy>
  <cp:revision>2</cp:revision>
  <cp:lastPrinted>2020-11-26T14:53:00Z</cp:lastPrinted>
  <dcterms:created xsi:type="dcterms:W3CDTF">2021-02-18T16:16:00Z</dcterms:created>
  <dcterms:modified xsi:type="dcterms:W3CDTF">2021-02-18T16:16:00Z</dcterms:modified>
</cp:coreProperties>
</file>