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276BA2" w:rsidRDefault="00AA7C74" w:rsidP="00223B1F">
      <w:pPr>
        <w:tabs>
          <w:tab w:val="left" w:pos="2520"/>
        </w:tabs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276BA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Important Payroll Information</w:t>
      </w:r>
      <w:r w:rsidR="009768C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Reminder</w:t>
      </w:r>
    </w:p>
    <w:p w:rsidR="00AA7C74" w:rsidRDefault="008611FB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1905</wp:posOffset>
            </wp:positionV>
            <wp:extent cx="1085850" cy="876300"/>
            <wp:effectExtent l="19050" t="0" r="0" b="0"/>
            <wp:wrapSquare wrapText="bothSides"/>
            <wp:docPr id="2" name="Picture 0" descr="GGC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GC_2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8CD" w:rsidRPr="009768CD">
        <w:rPr>
          <w:rFonts w:ascii="Arial" w:hAnsi="Arial" w:cs="Arial"/>
          <w:b/>
          <w:bCs/>
          <w:noProof/>
          <w:sz w:val="22"/>
          <w:szCs w:val="22"/>
          <w:u w:val="single"/>
          <w:lang w:val="en-GB" w:eastAsia="en-GB"/>
        </w:rPr>
        <w:drawing>
          <wp:inline distT="0" distB="0" distL="0" distR="0">
            <wp:extent cx="1257659" cy="1551328"/>
            <wp:effectExtent l="19050" t="0" r="0" b="0"/>
            <wp:docPr id="3" name="Picture 1" descr="C:\Users\Reillli787\AppData\Local\Microsoft\Windows\Temporary Internet Files\Content.IE5\YRCIMPI3\1-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li787\AppData\Local\Microsoft\Windows\Temporary Internet Files\Content.IE5\YRCIMPI3\1-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1" cy="155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CD" w:rsidRDefault="009768CD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68CD" w:rsidRDefault="009768CD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7C74" w:rsidRPr="004D4691" w:rsidRDefault="00AA7C74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276BA2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6BA2">
        <w:rPr>
          <w:rFonts w:ascii="Arial" w:hAnsi="Arial" w:cs="Arial"/>
          <w:b/>
          <w:bCs/>
          <w:sz w:val="28"/>
          <w:szCs w:val="28"/>
          <w:u w:val="single"/>
        </w:rPr>
        <w:t>Festive Pay Arrangements</w:t>
      </w:r>
    </w:p>
    <w:p w:rsidR="007470AF" w:rsidRPr="00276BA2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A4F14" w:rsidRPr="00276BA2" w:rsidRDefault="00276BA2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West of Scotland Regional, </w:t>
      </w:r>
      <w:r w:rsidR="0081358C" w:rsidRPr="00276BA2">
        <w:rPr>
          <w:rFonts w:ascii="Arial" w:hAnsi="Arial" w:cs="Arial"/>
          <w:b/>
          <w:bCs/>
          <w:sz w:val="28"/>
          <w:szCs w:val="28"/>
          <w:u w:val="single"/>
        </w:rPr>
        <w:t>NHSGGC Medical</w:t>
      </w:r>
      <w:r w:rsidR="001A4F14" w:rsidRPr="00276BA2">
        <w:rPr>
          <w:rFonts w:ascii="Arial" w:hAnsi="Arial" w:cs="Arial"/>
          <w:b/>
          <w:bCs/>
          <w:sz w:val="28"/>
          <w:szCs w:val="28"/>
          <w:u w:val="single"/>
        </w:rPr>
        <w:t xml:space="preserve">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76BA2" w:rsidRPr="004D4691" w:rsidRDefault="00276BA2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10D21" w:rsidRDefault="00210D21" w:rsidP="00210D21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briefing note</w:t>
      </w:r>
      <w:r w:rsidRPr="004D4691">
        <w:rPr>
          <w:rFonts w:ascii="Arial" w:hAnsi="Arial" w:cs="Arial"/>
          <w:sz w:val="22"/>
          <w:szCs w:val="22"/>
        </w:rPr>
        <w:t xml:space="preserve"> contains important information regarding changes to the payroll cut off dates for the </w:t>
      </w:r>
      <w:proofErr w:type="spellStart"/>
      <w:r>
        <w:rPr>
          <w:rFonts w:ascii="Arial" w:hAnsi="Arial" w:cs="Arial"/>
          <w:sz w:val="22"/>
          <w:szCs w:val="22"/>
        </w:rPr>
        <w:t>authorising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D4691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Medical Staff Bank </w:t>
      </w:r>
      <w:r w:rsidRPr="004D4691">
        <w:rPr>
          <w:rFonts w:ascii="Arial" w:hAnsi="Arial" w:cs="Arial"/>
          <w:sz w:val="22"/>
          <w:szCs w:val="22"/>
        </w:rPr>
        <w:t xml:space="preserve">shifts on the </w:t>
      </w:r>
      <w:proofErr w:type="spellStart"/>
      <w:r w:rsidRPr="004D4691">
        <w:rPr>
          <w:rFonts w:ascii="Arial" w:hAnsi="Arial" w:cs="Arial"/>
          <w:sz w:val="22"/>
          <w:szCs w:val="22"/>
        </w:rPr>
        <w:t>BankStaff</w:t>
      </w:r>
      <w:proofErr w:type="spellEnd"/>
      <w:r w:rsidRPr="004D4691">
        <w:rPr>
          <w:rFonts w:ascii="Arial" w:hAnsi="Arial" w:cs="Arial"/>
          <w:sz w:val="22"/>
          <w:szCs w:val="22"/>
        </w:rPr>
        <w:t xml:space="preserve"> system, </w:t>
      </w:r>
      <w:r>
        <w:rPr>
          <w:rFonts w:ascii="Arial" w:hAnsi="Arial" w:cs="Arial"/>
          <w:sz w:val="22"/>
          <w:szCs w:val="22"/>
        </w:rPr>
        <w:t>and payment</w:t>
      </w:r>
      <w:r w:rsidRPr="004D4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dates </w:t>
      </w:r>
      <w:r w:rsidRPr="004D4691">
        <w:rPr>
          <w:rFonts w:ascii="Arial" w:hAnsi="Arial" w:cs="Arial"/>
          <w:sz w:val="22"/>
          <w:szCs w:val="22"/>
        </w:rPr>
        <w:t>over the Christ</w:t>
      </w:r>
      <w:r>
        <w:rPr>
          <w:rFonts w:ascii="Arial" w:hAnsi="Arial" w:cs="Arial"/>
          <w:sz w:val="22"/>
          <w:szCs w:val="22"/>
        </w:rPr>
        <w:t>mas and New Year period for 2020/21</w:t>
      </w:r>
      <w:r w:rsidRPr="004D4691">
        <w:rPr>
          <w:rFonts w:ascii="Arial" w:hAnsi="Arial" w:cs="Arial"/>
          <w:sz w:val="22"/>
          <w:szCs w:val="22"/>
        </w:rPr>
        <w:t>.</w:t>
      </w:r>
    </w:p>
    <w:p w:rsidR="00210D21" w:rsidRPr="004D4691" w:rsidRDefault="00210D21" w:rsidP="00210D21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0D21" w:rsidRPr="004D4691" w:rsidRDefault="00210D21" w:rsidP="00210D21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210D21" w:rsidRPr="00636A0C" w:rsidRDefault="00210D21" w:rsidP="00210D21">
      <w:pPr>
        <w:tabs>
          <w:tab w:val="left" w:pos="3060"/>
        </w:tabs>
        <w:rPr>
          <w:rFonts w:ascii="Arial" w:hAnsi="Arial" w:cs="Arial"/>
          <w:b/>
          <w:bCs/>
          <w:u w:val="single"/>
        </w:rPr>
      </w:pPr>
    </w:p>
    <w:p w:rsidR="00210D21" w:rsidRDefault="00210D21" w:rsidP="00210D21">
      <w:pPr>
        <w:tabs>
          <w:tab w:val="left" w:pos="3060"/>
        </w:tabs>
        <w:jc w:val="center"/>
        <w:rPr>
          <w:rFonts w:ascii="Arial" w:hAnsi="Arial" w:cs="Arial"/>
          <w:b/>
          <w:bCs/>
          <w:u w:val="single"/>
        </w:rPr>
      </w:pPr>
      <w:r w:rsidRPr="00636A0C">
        <w:rPr>
          <w:rFonts w:ascii="Arial" w:hAnsi="Arial" w:cs="Arial"/>
          <w:b/>
          <w:bCs/>
          <w:u w:val="single"/>
        </w:rPr>
        <w:t xml:space="preserve">Changes to </w:t>
      </w:r>
      <w:r>
        <w:rPr>
          <w:rFonts w:ascii="Arial" w:hAnsi="Arial" w:cs="Arial"/>
          <w:b/>
          <w:bCs/>
          <w:u w:val="single"/>
        </w:rPr>
        <w:t>Medical Bank Shift</w:t>
      </w:r>
      <w:r w:rsidRPr="00636A0C">
        <w:rPr>
          <w:rFonts w:ascii="Arial" w:hAnsi="Arial" w:cs="Arial"/>
          <w:b/>
          <w:bCs/>
          <w:u w:val="single"/>
        </w:rPr>
        <w:t xml:space="preserve"> Pay Arrangements</w:t>
      </w:r>
    </w:p>
    <w:p w:rsidR="00210D21" w:rsidRPr="00636A0C" w:rsidRDefault="00210D21" w:rsidP="00210D21">
      <w:pPr>
        <w:tabs>
          <w:tab w:val="left" w:pos="3060"/>
        </w:tabs>
        <w:jc w:val="center"/>
        <w:rPr>
          <w:rFonts w:ascii="Arial" w:hAnsi="Arial" w:cs="Arial"/>
          <w:b/>
          <w:bCs/>
          <w:u w:val="single"/>
        </w:rPr>
      </w:pPr>
    </w:p>
    <w:p w:rsidR="00210D21" w:rsidRPr="004D4691" w:rsidRDefault="00210D21" w:rsidP="00210D21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210D21" w:rsidTr="00B26513">
        <w:trPr>
          <w:jc w:val="center"/>
        </w:trPr>
        <w:tc>
          <w:tcPr>
            <w:tcW w:w="2784" w:type="dxa"/>
          </w:tcPr>
          <w:p w:rsidR="00210D21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Shift Worked </w:t>
            </w:r>
          </w:p>
        </w:tc>
        <w:tc>
          <w:tcPr>
            <w:tcW w:w="4910" w:type="dxa"/>
          </w:tcPr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Timesheets </w:t>
            </w:r>
            <w:r w:rsidRPr="00276BA2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MUST</w:t>
            </w:r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be </w:t>
            </w:r>
            <w:proofErr w:type="spellStart"/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authorised</w:t>
            </w:r>
            <w:proofErr w:type="spellEnd"/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finalised</w:t>
            </w:r>
            <w:proofErr w:type="spellEnd"/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Date Paid</w:t>
            </w:r>
          </w:p>
        </w:tc>
      </w:tr>
      <w:tr w:rsidR="00210D21" w:rsidTr="00B26513">
        <w:trPr>
          <w:jc w:val="center"/>
        </w:trPr>
        <w:tc>
          <w:tcPr>
            <w:tcW w:w="2784" w:type="dxa"/>
          </w:tcPr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 11</w:t>
            </w:r>
            <w:r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– Wed 16</w:t>
            </w:r>
            <w:r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20</w:t>
            </w:r>
          </w:p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0900</w:t>
            </w:r>
            <w:r w:rsidRPr="00276BA2">
              <w:rPr>
                <w:rFonts w:ascii="Arial" w:hAnsi="Arial" w:cs="Arial"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on 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Thursday 17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Dec 20</w:t>
            </w:r>
          </w:p>
        </w:tc>
        <w:tc>
          <w:tcPr>
            <w:tcW w:w="1985" w:type="dxa"/>
          </w:tcPr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Thursday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24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  <w:vertAlign w:val="superscript"/>
              </w:rPr>
              <w:t>th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20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</w:p>
        </w:tc>
      </w:tr>
      <w:tr w:rsidR="00210D21" w:rsidTr="00B26513">
        <w:trPr>
          <w:jc w:val="center"/>
        </w:trPr>
        <w:tc>
          <w:tcPr>
            <w:tcW w:w="2784" w:type="dxa"/>
          </w:tcPr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Thurs 17</w:t>
            </w:r>
            <w:r w:rsidRPr="0028636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 - Mon 21st  Dec 20</w:t>
            </w:r>
          </w:p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0900</w:t>
            </w:r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on 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Tuesday 22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Dec 20</w:t>
            </w:r>
          </w:p>
        </w:tc>
        <w:tc>
          <w:tcPr>
            <w:tcW w:w="1985" w:type="dxa"/>
          </w:tcPr>
          <w:p w:rsidR="00210D21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</w:pP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Thursday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31</w:t>
            </w:r>
            <w:r w:rsidRPr="00286369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Dec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 xml:space="preserve"> 20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</w:p>
        </w:tc>
      </w:tr>
      <w:tr w:rsidR="00210D21" w:rsidTr="00B26513">
        <w:trPr>
          <w:jc w:val="center"/>
        </w:trPr>
        <w:tc>
          <w:tcPr>
            <w:tcW w:w="2784" w:type="dxa"/>
          </w:tcPr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10D21" w:rsidRDefault="00210D21" w:rsidP="00B2651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Tues 22</w:t>
            </w:r>
            <w:r w:rsidRPr="0028636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 – Mon 28</w:t>
            </w:r>
            <w:r w:rsidRPr="0028636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20 </w:t>
            </w:r>
          </w:p>
        </w:tc>
        <w:tc>
          <w:tcPr>
            <w:tcW w:w="4910" w:type="dxa"/>
          </w:tcPr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210D21" w:rsidRPr="00276BA2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0900</w:t>
            </w:r>
            <w:r w:rsidRPr="00276B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on 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Tuesday 29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DB69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Dec 20</w:t>
            </w:r>
          </w:p>
        </w:tc>
        <w:tc>
          <w:tcPr>
            <w:tcW w:w="1985" w:type="dxa"/>
          </w:tcPr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Friday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8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  <w:vertAlign w:val="superscript"/>
              </w:rPr>
              <w:t>th</w:t>
            </w:r>
            <w:r w:rsidRPr="00636A0C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 xml:space="preserve"> Jan </w:t>
            </w:r>
            <w: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21</w:t>
            </w:r>
          </w:p>
          <w:p w:rsidR="00210D21" w:rsidRPr="00636A0C" w:rsidRDefault="00210D21" w:rsidP="00B2651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81358C" w:rsidRDefault="0081358C" w:rsidP="0081358C">
      <w:pPr>
        <w:tabs>
          <w:tab w:val="left" w:pos="3060"/>
        </w:tabs>
      </w:pPr>
    </w:p>
    <w:p w:rsidR="0081358C" w:rsidRDefault="0081358C" w:rsidP="0081358C">
      <w:pPr>
        <w:tabs>
          <w:tab w:val="left" w:pos="3060"/>
        </w:tabs>
        <w:jc w:val="center"/>
      </w:pPr>
    </w:p>
    <w:p w:rsidR="0081358C" w:rsidRDefault="0081358C" w:rsidP="0081358C">
      <w:pPr>
        <w:tabs>
          <w:tab w:val="left" w:pos="3060"/>
        </w:tabs>
        <w:jc w:val="center"/>
      </w:pPr>
    </w:p>
    <w:p w:rsidR="0081358C" w:rsidRDefault="0081358C" w:rsidP="0081358C">
      <w:pPr>
        <w:tabs>
          <w:tab w:val="left" w:pos="3060"/>
        </w:tabs>
        <w:jc w:val="center"/>
      </w:pPr>
      <w:r w:rsidRPr="00DA148E">
        <w:rPr>
          <w:noProof/>
          <w:sz w:val="27"/>
          <w:szCs w:val="27"/>
          <w:lang w:val="en-GB" w:eastAsia="en-GB"/>
        </w:rPr>
        <w:drawing>
          <wp:inline distT="0" distB="0" distL="0" distR="0">
            <wp:extent cx="396815" cy="396815"/>
            <wp:effectExtent l="0" t="0" r="3235" b="0"/>
            <wp:docPr id="4" name="Picture 3" descr="C:\Users\Reillli787\AppData\Local\Microsoft\Windows\Temporary Internet Files\Content.IE5\GWT9UBT6\email_ic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llli787\AppData\Local\Microsoft\Windows\Temporary Internet Files\Content.IE5\GWT9UBT6\email_ico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6" cy="39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DA148E">
          <w:rPr>
            <w:rStyle w:val="Hyperlink"/>
            <w:sz w:val="27"/>
            <w:szCs w:val="27"/>
          </w:rPr>
          <w:t>MedicalStaffBank@ggc.scot.nhs.uk</w:t>
        </w:r>
      </w:hyperlink>
    </w:p>
    <w:p w:rsidR="007470AF" w:rsidRPr="004D4691" w:rsidRDefault="0081358C" w:rsidP="009768CD">
      <w:pPr>
        <w:pStyle w:val="BodyText"/>
        <w:jc w:val="center"/>
        <w:rPr>
          <w:rFonts w:cs="Arial"/>
          <w:sz w:val="22"/>
          <w:szCs w:val="22"/>
        </w:rPr>
      </w:pPr>
      <w:r w:rsidRPr="00DA148E">
        <w:rPr>
          <w:rFonts w:asciiTheme="minorHAnsi" w:eastAsiaTheme="minorHAnsi" w:hAnsiTheme="minorHAnsi" w:cs="Arial"/>
          <w:noProof/>
          <w:sz w:val="27"/>
          <w:szCs w:val="27"/>
          <w:lang w:val="en-GB" w:eastAsia="en-GB"/>
        </w:rPr>
        <w:drawing>
          <wp:inline distT="0" distB="0" distL="0" distR="0">
            <wp:extent cx="181155" cy="181155"/>
            <wp:effectExtent l="19050" t="0" r="9345" b="0"/>
            <wp:docPr id="5" name="Picture 1" descr="C:\Users\Reillli787\AppData\Local\Microsoft\Windows\Temporary Internet Files\Content.IE5\GWT9UBT6\classic-telephone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li787\AppData\Local\Microsoft\Windows\Temporary Internet Files\Content.IE5\GWT9UBT6\classic-telephone-silhouett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" cy="1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48E">
        <w:rPr>
          <w:rFonts w:asciiTheme="minorHAnsi" w:eastAsiaTheme="minorHAnsi" w:hAnsiTheme="minorHAnsi" w:cs="Arial"/>
          <w:sz w:val="27"/>
          <w:szCs w:val="27"/>
        </w:rPr>
        <w:t>: 0141 278 2671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50B"/>
    <w:multiLevelType w:val="hybridMultilevel"/>
    <w:tmpl w:val="0C72EFEA"/>
    <w:lvl w:ilvl="0" w:tplc="78A0368C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A"/>
    <w:rsid w:val="00001888"/>
    <w:rsid w:val="000211CA"/>
    <w:rsid w:val="0004242C"/>
    <w:rsid w:val="00047FA6"/>
    <w:rsid w:val="000568C7"/>
    <w:rsid w:val="00065FFE"/>
    <w:rsid w:val="000816F0"/>
    <w:rsid w:val="000C59E5"/>
    <w:rsid w:val="000E508C"/>
    <w:rsid w:val="00102A2C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10D21"/>
    <w:rsid w:val="00223B1F"/>
    <w:rsid w:val="00234412"/>
    <w:rsid w:val="00237147"/>
    <w:rsid w:val="00242D4A"/>
    <w:rsid w:val="002504AA"/>
    <w:rsid w:val="00265899"/>
    <w:rsid w:val="0027450C"/>
    <w:rsid w:val="00276BA2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93EB1"/>
    <w:rsid w:val="004A5D87"/>
    <w:rsid w:val="004B472E"/>
    <w:rsid w:val="004C0A90"/>
    <w:rsid w:val="004D455E"/>
    <w:rsid w:val="004D4691"/>
    <w:rsid w:val="004E4CD2"/>
    <w:rsid w:val="004F7749"/>
    <w:rsid w:val="00506384"/>
    <w:rsid w:val="00533706"/>
    <w:rsid w:val="005754CC"/>
    <w:rsid w:val="005964C4"/>
    <w:rsid w:val="005969F6"/>
    <w:rsid w:val="005F0232"/>
    <w:rsid w:val="00631908"/>
    <w:rsid w:val="00636A0C"/>
    <w:rsid w:val="006674F3"/>
    <w:rsid w:val="00675116"/>
    <w:rsid w:val="006A2F23"/>
    <w:rsid w:val="006F4B79"/>
    <w:rsid w:val="006F78EF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358C"/>
    <w:rsid w:val="00816AE3"/>
    <w:rsid w:val="00852BBA"/>
    <w:rsid w:val="008611FB"/>
    <w:rsid w:val="008B3B69"/>
    <w:rsid w:val="008E08DD"/>
    <w:rsid w:val="008E7E3A"/>
    <w:rsid w:val="009074B3"/>
    <w:rsid w:val="00912F3B"/>
    <w:rsid w:val="00932183"/>
    <w:rsid w:val="00936D1B"/>
    <w:rsid w:val="00941F25"/>
    <w:rsid w:val="009768CD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A7C74"/>
    <w:rsid w:val="00AF292D"/>
    <w:rsid w:val="00AF69B4"/>
    <w:rsid w:val="00B52A09"/>
    <w:rsid w:val="00B5413E"/>
    <w:rsid w:val="00B71B9E"/>
    <w:rsid w:val="00BC660A"/>
    <w:rsid w:val="00BE11D4"/>
    <w:rsid w:val="00BE5C88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02B09"/>
    <w:rsid w:val="00F25E58"/>
    <w:rsid w:val="00F27848"/>
    <w:rsid w:val="00F300BC"/>
    <w:rsid w:val="00F8378A"/>
    <w:rsid w:val="00F86E98"/>
    <w:rsid w:val="00FA6BA6"/>
    <w:rsid w:val="00FB274D"/>
    <w:rsid w:val="00FC4570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CC093C-E2C4-4DF8-9A7A-AA38F02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1358C"/>
    <w:pPr>
      <w:widowControl w:val="0"/>
      <w:ind w:left="23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358C"/>
    <w:rPr>
      <w:rFonts w:ascii="Arial" w:eastAsia="Arial" w:hAnsi="Arial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StaffBank@ggc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Reilly, Lisa</cp:lastModifiedBy>
  <cp:revision>3</cp:revision>
  <cp:lastPrinted>2019-12-02T10:46:00Z</cp:lastPrinted>
  <dcterms:created xsi:type="dcterms:W3CDTF">2020-12-08T15:00:00Z</dcterms:created>
  <dcterms:modified xsi:type="dcterms:W3CDTF">2020-12-08T15:03:00Z</dcterms:modified>
</cp:coreProperties>
</file>