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2B" w:rsidRPr="00163AC1" w:rsidRDefault="00163AC1" w:rsidP="003D45D3">
      <w:pPr>
        <w:spacing w:after="0" w:line="240" w:lineRule="auto"/>
        <w:rPr>
          <w:b/>
          <w:sz w:val="28"/>
          <w:szCs w:val="28"/>
        </w:rPr>
      </w:pPr>
      <w:r w:rsidRPr="00163AC1">
        <w:rPr>
          <w:b/>
          <w:sz w:val="28"/>
          <w:szCs w:val="28"/>
        </w:rPr>
        <w:t xml:space="preserve">Preparing to </w:t>
      </w:r>
      <w:r w:rsidR="00F044B6">
        <w:rPr>
          <w:b/>
          <w:sz w:val="28"/>
          <w:szCs w:val="28"/>
        </w:rPr>
        <w:t>start</w:t>
      </w:r>
      <w:r w:rsidRPr="00163AC1">
        <w:rPr>
          <w:b/>
          <w:sz w:val="28"/>
          <w:szCs w:val="28"/>
        </w:rPr>
        <w:t xml:space="preserve"> as a </w:t>
      </w:r>
      <w:r w:rsidR="00105C89">
        <w:rPr>
          <w:b/>
          <w:sz w:val="28"/>
          <w:szCs w:val="28"/>
        </w:rPr>
        <w:t xml:space="preserve">clinical </w:t>
      </w:r>
      <w:r w:rsidR="002C6DBD">
        <w:rPr>
          <w:b/>
          <w:sz w:val="28"/>
          <w:szCs w:val="28"/>
        </w:rPr>
        <w:t xml:space="preserve">Health Care </w:t>
      </w:r>
      <w:r w:rsidR="00FA2A14">
        <w:rPr>
          <w:b/>
          <w:sz w:val="28"/>
          <w:szCs w:val="28"/>
        </w:rPr>
        <w:t>Support Worker</w:t>
      </w:r>
      <w:r w:rsidR="00433B2D">
        <w:rPr>
          <w:b/>
          <w:sz w:val="28"/>
          <w:szCs w:val="28"/>
        </w:rPr>
        <w:t xml:space="preserve"> </w:t>
      </w:r>
    </w:p>
    <w:p w:rsidR="003D45D3" w:rsidRDefault="003D45D3" w:rsidP="003D45D3">
      <w:pPr>
        <w:spacing w:after="0" w:line="240" w:lineRule="auto"/>
        <w:rPr>
          <w:b/>
        </w:rPr>
      </w:pPr>
    </w:p>
    <w:p w:rsidR="00163AC1" w:rsidRDefault="00163AC1" w:rsidP="003D45D3">
      <w:pPr>
        <w:spacing w:after="0" w:line="240" w:lineRule="auto"/>
      </w:pPr>
      <w:r>
        <w:t>The following learning</w:t>
      </w:r>
      <w:r w:rsidR="003D45D3">
        <w:t xml:space="preserve"> resources</w:t>
      </w:r>
      <w:r>
        <w:t xml:space="preserve"> will help you to prepare for working </w:t>
      </w:r>
      <w:r w:rsidR="003D45D3">
        <w:t>as a clinical Health Care Support Worker in the wards</w:t>
      </w:r>
      <w:r>
        <w:t>.</w:t>
      </w:r>
    </w:p>
    <w:p w:rsidR="00163AC1" w:rsidRDefault="00163AC1" w:rsidP="003D45D3">
      <w:pPr>
        <w:spacing w:after="0" w:line="240" w:lineRule="auto"/>
      </w:pPr>
    </w:p>
    <w:p w:rsidR="00163AC1" w:rsidRDefault="00163AC1" w:rsidP="003D45D3">
      <w:pPr>
        <w:spacing w:after="0" w:line="240" w:lineRule="auto"/>
      </w:pPr>
      <w:r>
        <w:t xml:space="preserve">The </w:t>
      </w:r>
      <w:r w:rsidR="003D45D3">
        <w:t>resources are grouped as follows:</w:t>
      </w:r>
    </w:p>
    <w:p w:rsidR="00332E14" w:rsidRDefault="00332E14" w:rsidP="00332E14">
      <w:pPr>
        <w:pStyle w:val="ListParagraph"/>
        <w:numPr>
          <w:ilvl w:val="0"/>
          <w:numId w:val="1"/>
        </w:numPr>
        <w:spacing w:after="0" w:line="240" w:lineRule="auto"/>
      </w:pPr>
      <w:r>
        <w:t>Essential eLearning modules</w:t>
      </w:r>
    </w:p>
    <w:p w:rsidR="00332E14" w:rsidRDefault="00332E14" w:rsidP="00332E14">
      <w:pPr>
        <w:pStyle w:val="ListParagraph"/>
        <w:numPr>
          <w:ilvl w:val="0"/>
          <w:numId w:val="1"/>
        </w:numPr>
        <w:spacing w:after="0" w:line="240" w:lineRule="auto"/>
      </w:pPr>
      <w:r>
        <w:t xml:space="preserve">Role specific learning and reference materials </w:t>
      </w:r>
    </w:p>
    <w:p w:rsidR="00332E14" w:rsidRDefault="00882D49" w:rsidP="00332E14">
      <w:pPr>
        <w:pStyle w:val="ListParagraph"/>
        <w:numPr>
          <w:ilvl w:val="0"/>
          <w:numId w:val="1"/>
        </w:numPr>
        <w:spacing w:after="0" w:line="240" w:lineRule="auto"/>
      </w:pPr>
      <w:r>
        <w:t>Ward based</w:t>
      </w:r>
      <w:r w:rsidR="00332E14">
        <w:t xml:space="preserve"> support</w:t>
      </w:r>
    </w:p>
    <w:p w:rsidR="00332E14" w:rsidRDefault="00332E14" w:rsidP="003D45D3">
      <w:pPr>
        <w:spacing w:after="0" w:line="240" w:lineRule="auto"/>
      </w:pPr>
    </w:p>
    <w:p w:rsidR="00A67F13" w:rsidRDefault="00A67F13" w:rsidP="003D45D3">
      <w:pPr>
        <w:spacing w:after="0" w:line="240" w:lineRule="auto"/>
      </w:pPr>
    </w:p>
    <w:p w:rsidR="00163AC1" w:rsidRDefault="00163AC1" w:rsidP="003D45D3">
      <w:pPr>
        <w:spacing w:after="0" w:line="240" w:lineRule="auto"/>
      </w:pPr>
      <w:r w:rsidRPr="003D45D3">
        <w:rPr>
          <w:b/>
        </w:rPr>
        <w:t xml:space="preserve">Essential </w:t>
      </w:r>
      <w:r w:rsidR="003D45D3" w:rsidRPr="003D45D3">
        <w:rPr>
          <w:b/>
        </w:rPr>
        <w:t>eLearning M</w:t>
      </w:r>
      <w:r w:rsidRPr="003D45D3">
        <w:rPr>
          <w:b/>
        </w:rPr>
        <w:t>odules</w:t>
      </w:r>
      <w:r>
        <w:t xml:space="preserve"> (and follow-up requirements)</w:t>
      </w:r>
    </w:p>
    <w:p w:rsidR="00163AC1" w:rsidRDefault="00163AC1" w:rsidP="003D45D3">
      <w:pPr>
        <w:spacing w:after="0" w:line="240" w:lineRule="auto"/>
      </w:pPr>
    </w:p>
    <w:p w:rsidR="002C6DBD" w:rsidRPr="002C6DBD" w:rsidRDefault="002C6DBD" w:rsidP="002C6DBD">
      <w:pPr>
        <w:spacing w:after="0" w:line="240" w:lineRule="auto"/>
      </w:pPr>
      <w:r w:rsidRPr="002C6DBD">
        <w:t xml:space="preserve">You should complete all of the following </w:t>
      </w:r>
      <w:r>
        <w:t xml:space="preserve">priority </w:t>
      </w:r>
      <w:r w:rsidRPr="002C6DBD">
        <w:t xml:space="preserve">eLearning modules which can be accessed from </w:t>
      </w:r>
      <w:hyperlink r:id="rId5" w:history="1">
        <w:r w:rsidRPr="00DE698C">
          <w:rPr>
            <w:rStyle w:val="Hyperlink"/>
          </w:rPr>
          <w:t>learnPro NHS</w:t>
        </w:r>
      </w:hyperlink>
      <w:r w:rsidR="00DE698C">
        <w:t>.</w:t>
      </w:r>
    </w:p>
    <w:p w:rsidR="00163AC1" w:rsidRDefault="00163AC1" w:rsidP="003D45D3">
      <w:pPr>
        <w:spacing w:after="0" w:line="240" w:lineRule="auto"/>
      </w:pPr>
    </w:p>
    <w:tbl>
      <w:tblPr>
        <w:tblStyle w:val="TableGrid"/>
        <w:tblW w:w="0" w:type="auto"/>
        <w:tblLook w:val="04A0"/>
      </w:tblPr>
      <w:tblGrid>
        <w:gridCol w:w="4361"/>
        <w:gridCol w:w="4881"/>
      </w:tblGrid>
      <w:tr w:rsidR="00C67CB6" w:rsidRPr="00FE6237" w:rsidTr="00BB019F">
        <w:tc>
          <w:tcPr>
            <w:tcW w:w="4361" w:type="dxa"/>
          </w:tcPr>
          <w:p w:rsidR="00C67CB6" w:rsidRDefault="00C67CB6" w:rsidP="003D45D3">
            <w:pPr>
              <w:rPr>
                <w:sz w:val="20"/>
                <w:szCs w:val="20"/>
              </w:rPr>
            </w:pPr>
            <w:r w:rsidRPr="00FE6237">
              <w:rPr>
                <w:sz w:val="20"/>
                <w:szCs w:val="20"/>
              </w:rPr>
              <w:t>GGC: 001 Fire Safety</w:t>
            </w:r>
          </w:p>
          <w:p w:rsidR="00C67CB6" w:rsidRDefault="00C67CB6" w:rsidP="003D45D3">
            <w:pPr>
              <w:rPr>
                <w:sz w:val="20"/>
                <w:szCs w:val="20"/>
              </w:rPr>
            </w:pPr>
            <w:r w:rsidRPr="00FE6237">
              <w:rPr>
                <w:sz w:val="20"/>
                <w:szCs w:val="20"/>
              </w:rPr>
              <w:t>GGC: 002 Health and Safety, An Introduction</w:t>
            </w:r>
          </w:p>
          <w:p w:rsidR="00C67CB6" w:rsidRDefault="00C67CB6" w:rsidP="003D45D3">
            <w:pPr>
              <w:rPr>
                <w:sz w:val="20"/>
                <w:szCs w:val="20"/>
              </w:rPr>
            </w:pPr>
            <w:r w:rsidRPr="00FE6237">
              <w:rPr>
                <w:sz w:val="20"/>
                <w:szCs w:val="20"/>
              </w:rPr>
              <w:t>GGC: 003 Reducing Risks of Violence &amp; Aggression</w:t>
            </w:r>
          </w:p>
          <w:p w:rsidR="00C67CB6" w:rsidRDefault="00C67CB6" w:rsidP="003D45D3">
            <w:pPr>
              <w:rPr>
                <w:sz w:val="20"/>
                <w:szCs w:val="20"/>
              </w:rPr>
            </w:pPr>
            <w:r w:rsidRPr="00FE6237">
              <w:rPr>
                <w:sz w:val="20"/>
                <w:szCs w:val="20"/>
              </w:rPr>
              <w:t>GGC: 004 Equality, Diversity and Human Rights</w:t>
            </w:r>
          </w:p>
          <w:p w:rsidR="00C67CB6" w:rsidRDefault="00C67CB6" w:rsidP="003D45D3">
            <w:pPr>
              <w:rPr>
                <w:sz w:val="20"/>
                <w:szCs w:val="20"/>
              </w:rPr>
            </w:pPr>
            <w:r w:rsidRPr="00FE6237">
              <w:rPr>
                <w:sz w:val="20"/>
                <w:szCs w:val="20"/>
              </w:rPr>
              <w:t>GGC: 005 Manual Handling Theory</w:t>
            </w:r>
          </w:p>
          <w:p w:rsidR="00C67CB6" w:rsidRDefault="00C67CB6" w:rsidP="003D45D3">
            <w:pPr>
              <w:rPr>
                <w:sz w:val="20"/>
                <w:szCs w:val="20"/>
              </w:rPr>
            </w:pPr>
            <w:r w:rsidRPr="00FE6237">
              <w:rPr>
                <w:sz w:val="20"/>
                <w:szCs w:val="20"/>
              </w:rPr>
              <w:t>GGC: 006 Public Protection (Adult &amp; Child)</w:t>
            </w:r>
          </w:p>
          <w:p w:rsidR="00C67CB6" w:rsidRDefault="00C67CB6" w:rsidP="003D45D3">
            <w:pPr>
              <w:rPr>
                <w:sz w:val="20"/>
                <w:szCs w:val="20"/>
              </w:rPr>
            </w:pPr>
            <w:r w:rsidRPr="00FE6237">
              <w:rPr>
                <w:sz w:val="20"/>
                <w:szCs w:val="20"/>
              </w:rPr>
              <w:t>GGC: 007 Standard Infection Control Precautions</w:t>
            </w:r>
          </w:p>
          <w:p w:rsidR="00C67CB6" w:rsidRDefault="00C67CB6" w:rsidP="003D45D3">
            <w:pPr>
              <w:rPr>
                <w:sz w:val="20"/>
                <w:szCs w:val="20"/>
              </w:rPr>
            </w:pPr>
            <w:r w:rsidRPr="00FE6237">
              <w:rPr>
                <w:sz w:val="20"/>
                <w:szCs w:val="20"/>
              </w:rPr>
              <w:t>GGC: 008 Security &amp; Threat</w:t>
            </w:r>
          </w:p>
          <w:p w:rsidR="00C67CB6" w:rsidRPr="00FE6237" w:rsidRDefault="00C67CB6" w:rsidP="003D45D3">
            <w:pPr>
              <w:rPr>
                <w:sz w:val="20"/>
                <w:szCs w:val="20"/>
              </w:rPr>
            </w:pPr>
            <w:r w:rsidRPr="00FE6237">
              <w:rPr>
                <w:sz w:val="20"/>
                <w:szCs w:val="20"/>
              </w:rPr>
              <w:t>GGC: 009 Safe Information Handling</w:t>
            </w:r>
          </w:p>
        </w:tc>
        <w:tc>
          <w:tcPr>
            <w:tcW w:w="4881" w:type="dxa"/>
          </w:tcPr>
          <w:p w:rsidR="00A67F13" w:rsidRDefault="00A67F13" w:rsidP="00A67F13">
            <w:pPr>
              <w:rPr>
                <w:sz w:val="20"/>
                <w:szCs w:val="20"/>
              </w:rPr>
            </w:pPr>
            <w:r w:rsidRPr="00821966">
              <w:rPr>
                <w:rStyle w:val="Strong"/>
                <w:rFonts w:cs="Arial"/>
                <w:b w:val="0"/>
                <w:sz w:val="20"/>
                <w:szCs w:val="20"/>
              </w:rPr>
              <w:t xml:space="preserve">GGC: Falls Prevention Training (comprised of the following </w:t>
            </w:r>
            <w:r>
              <w:rPr>
                <w:rStyle w:val="Strong"/>
                <w:rFonts w:cs="Arial"/>
                <w:b w:val="0"/>
                <w:sz w:val="20"/>
                <w:szCs w:val="20"/>
              </w:rPr>
              <w:t xml:space="preserve">5 </w:t>
            </w:r>
            <w:r w:rsidRPr="00821966">
              <w:rPr>
                <w:rStyle w:val="Strong"/>
                <w:rFonts w:cs="Arial"/>
                <w:b w:val="0"/>
                <w:sz w:val="20"/>
                <w:szCs w:val="20"/>
              </w:rPr>
              <w:t>modules)</w:t>
            </w:r>
          </w:p>
          <w:p w:rsidR="00C67CB6" w:rsidRPr="000E5B46" w:rsidRDefault="00C67CB6" w:rsidP="000E5B46">
            <w:pPr>
              <w:pStyle w:val="ListParagraph"/>
              <w:numPr>
                <w:ilvl w:val="0"/>
                <w:numId w:val="4"/>
              </w:numPr>
              <w:rPr>
                <w:sz w:val="20"/>
                <w:szCs w:val="20"/>
              </w:rPr>
            </w:pPr>
            <w:r w:rsidRPr="000E5B46">
              <w:rPr>
                <w:sz w:val="20"/>
                <w:szCs w:val="20"/>
              </w:rPr>
              <w:t>GGC: 215 An Introduction to Falls</w:t>
            </w:r>
          </w:p>
          <w:p w:rsidR="00C67CB6" w:rsidRPr="000E5B46" w:rsidRDefault="00C67CB6" w:rsidP="000E5B46">
            <w:pPr>
              <w:pStyle w:val="ListParagraph"/>
              <w:numPr>
                <w:ilvl w:val="0"/>
                <w:numId w:val="4"/>
              </w:numPr>
              <w:rPr>
                <w:sz w:val="20"/>
                <w:szCs w:val="20"/>
              </w:rPr>
            </w:pPr>
            <w:r w:rsidRPr="000E5B46">
              <w:rPr>
                <w:sz w:val="20"/>
                <w:szCs w:val="20"/>
              </w:rPr>
              <w:t>GGC: 216 The Falls Bundle of Care</w:t>
            </w:r>
          </w:p>
          <w:p w:rsidR="00C67CB6" w:rsidRPr="000E5B46" w:rsidRDefault="00C67CB6" w:rsidP="000E5B46">
            <w:pPr>
              <w:pStyle w:val="ListParagraph"/>
              <w:numPr>
                <w:ilvl w:val="0"/>
                <w:numId w:val="4"/>
              </w:numPr>
              <w:rPr>
                <w:sz w:val="20"/>
                <w:szCs w:val="20"/>
              </w:rPr>
            </w:pPr>
            <w:r w:rsidRPr="000E5B46">
              <w:rPr>
                <w:sz w:val="20"/>
                <w:szCs w:val="20"/>
              </w:rPr>
              <w:t>GGC: 217 Risk Factors for Falls (Part 1)</w:t>
            </w:r>
          </w:p>
          <w:p w:rsidR="00C67CB6" w:rsidRPr="000E5B46" w:rsidRDefault="00C67CB6" w:rsidP="000E5B46">
            <w:pPr>
              <w:pStyle w:val="ListParagraph"/>
              <w:numPr>
                <w:ilvl w:val="0"/>
                <w:numId w:val="4"/>
              </w:numPr>
              <w:rPr>
                <w:sz w:val="20"/>
                <w:szCs w:val="20"/>
              </w:rPr>
            </w:pPr>
            <w:r w:rsidRPr="000E5B46">
              <w:rPr>
                <w:sz w:val="20"/>
                <w:szCs w:val="20"/>
              </w:rPr>
              <w:t>GGC: 218 Risk Factors for Falls (Part 2)</w:t>
            </w:r>
          </w:p>
          <w:p w:rsidR="00C67CB6" w:rsidRPr="000E5B46" w:rsidRDefault="00C67CB6" w:rsidP="000E5B46">
            <w:pPr>
              <w:pStyle w:val="ListParagraph"/>
              <w:numPr>
                <w:ilvl w:val="0"/>
                <w:numId w:val="4"/>
              </w:numPr>
              <w:rPr>
                <w:sz w:val="20"/>
                <w:szCs w:val="20"/>
              </w:rPr>
            </w:pPr>
            <w:r w:rsidRPr="000E5B46">
              <w:rPr>
                <w:sz w:val="20"/>
                <w:szCs w:val="20"/>
              </w:rPr>
              <w:t>GGC: 219 What to do when your patient falls</w:t>
            </w:r>
          </w:p>
          <w:p w:rsidR="00C67CB6" w:rsidRDefault="00C67CB6" w:rsidP="00967AA8">
            <w:pPr>
              <w:rPr>
                <w:sz w:val="20"/>
                <w:szCs w:val="20"/>
              </w:rPr>
            </w:pPr>
            <w:r w:rsidRPr="00BB019F">
              <w:rPr>
                <w:sz w:val="20"/>
                <w:szCs w:val="20"/>
              </w:rPr>
              <w:t>GGC: 221 Bedrails</w:t>
            </w:r>
          </w:p>
          <w:p w:rsidR="00C67CB6" w:rsidRDefault="00C67CB6" w:rsidP="00967AA8">
            <w:pPr>
              <w:rPr>
                <w:sz w:val="20"/>
                <w:szCs w:val="20"/>
              </w:rPr>
            </w:pPr>
            <w:r w:rsidRPr="00BB019F">
              <w:rPr>
                <w:sz w:val="20"/>
                <w:szCs w:val="20"/>
              </w:rPr>
              <w:t xml:space="preserve">GGC: </w:t>
            </w:r>
            <w:r>
              <w:rPr>
                <w:sz w:val="20"/>
                <w:szCs w:val="20"/>
              </w:rPr>
              <w:t xml:space="preserve">061 </w:t>
            </w:r>
            <w:r w:rsidRPr="00BB019F">
              <w:rPr>
                <w:sz w:val="20"/>
                <w:szCs w:val="20"/>
              </w:rPr>
              <w:t>Management of Needlestick &amp; Similar Injuries</w:t>
            </w:r>
          </w:p>
          <w:p w:rsidR="00C67CB6" w:rsidRPr="00FE6237" w:rsidRDefault="00C67CB6" w:rsidP="00967AA8">
            <w:pPr>
              <w:rPr>
                <w:sz w:val="20"/>
                <w:szCs w:val="20"/>
              </w:rPr>
            </w:pPr>
            <w:r>
              <w:rPr>
                <w:sz w:val="20"/>
                <w:szCs w:val="20"/>
              </w:rPr>
              <w:t xml:space="preserve">NES: </w:t>
            </w:r>
            <w:r w:rsidRPr="00BB019F">
              <w:rPr>
                <w:sz w:val="20"/>
                <w:szCs w:val="20"/>
              </w:rPr>
              <w:t>Prevention and Management of Occupational Exposure</w:t>
            </w:r>
            <w:r>
              <w:rPr>
                <w:sz w:val="20"/>
                <w:szCs w:val="20"/>
              </w:rPr>
              <w:t xml:space="preserve"> (Infection Prevention &amp; Control SIPCEP Foundation)</w:t>
            </w:r>
          </w:p>
        </w:tc>
      </w:tr>
    </w:tbl>
    <w:p w:rsidR="005F4B76" w:rsidRDefault="005F4B76" w:rsidP="003D45D3">
      <w:pPr>
        <w:spacing w:after="0" w:line="240" w:lineRule="auto"/>
      </w:pPr>
    </w:p>
    <w:p w:rsidR="00837AE5" w:rsidRDefault="00837AE5" w:rsidP="003D45D3">
      <w:pPr>
        <w:spacing w:after="0" w:line="240" w:lineRule="auto"/>
      </w:pPr>
      <w:r>
        <w:t xml:space="preserve">Once you have completed these modules, please print a certificate from </w:t>
      </w:r>
      <w:r w:rsidR="00B118EA">
        <w:t>Learnpro</w:t>
      </w:r>
      <w:r>
        <w:t xml:space="preserve"> </w:t>
      </w:r>
      <w:r w:rsidR="00D66D31">
        <w:t xml:space="preserve">for your </w:t>
      </w:r>
      <w:r w:rsidR="00FE735E">
        <w:t>SCN (</w:t>
      </w:r>
      <w:r w:rsidR="00D66D31">
        <w:t xml:space="preserve">for nurse bank HCSW </w:t>
      </w:r>
      <w:r>
        <w:t>secure it to your orientation logbook.</w:t>
      </w:r>
      <w:r w:rsidR="00D66D31">
        <w:t>)</w:t>
      </w:r>
    </w:p>
    <w:p w:rsidR="002D02D5" w:rsidRDefault="002D02D5" w:rsidP="003D45D3">
      <w:pPr>
        <w:spacing w:after="0" w:line="240" w:lineRule="auto"/>
      </w:pPr>
    </w:p>
    <w:p w:rsidR="002D02D5" w:rsidRDefault="002D02D5" w:rsidP="002D02D5">
      <w:pPr>
        <w:spacing w:after="0" w:line="240" w:lineRule="auto"/>
      </w:pPr>
      <w:r>
        <w:t>To supplement the Standard Infection Control Precautions module, the Infection Prevention and Control Team have prepared two videos showing the correct procedure for ‘donning’ and ‘doffing’ personal protective equipment (PPE):</w:t>
      </w:r>
    </w:p>
    <w:p w:rsidR="002D02D5" w:rsidRDefault="002D02D5" w:rsidP="002D02D5">
      <w:pPr>
        <w:pStyle w:val="ListParagraph"/>
        <w:numPr>
          <w:ilvl w:val="0"/>
          <w:numId w:val="2"/>
        </w:numPr>
        <w:spacing w:after="0" w:line="240" w:lineRule="auto"/>
      </w:pPr>
      <w:r>
        <w:t xml:space="preserve">For droplet precautions, click </w:t>
      </w:r>
      <w:hyperlink r:id="rId6" w:history="1">
        <w:r>
          <w:rPr>
            <w:rStyle w:val="Hyperlink"/>
            <w:b/>
          </w:rPr>
          <w:t>here</w:t>
        </w:r>
      </w:hyperlink>
      <w:r>
        <w:t>.</w:t>
      </w:r>
    </w:p>
    <w:p w:rsidR="002D02D5" w:rsidRDefault="002D02D5" w:rsidP="002D02D5">
      <w:pPr>
        <w:pStyle w:val="ListParagraph"/>
        <w:numPr>
          <w:ilvl w:val="0"/>
          <w:numId w:val="2"/>
        </w:numPr>
        <w:spacing w:after="0" w:line="240" w:lineRule="auto"/>
      </w:pPr>
      <w:r>
        <w:t xml:space="preserve">For aerosol generating procedures, click </w:t>
      </w:r>
      <w:hyperlink r:id="rId7" w:history="1">
        <w:r>
          <w:rPr>
            <w:rStyle w:val="Hyperlink"/>
            <w:b/>
          </w:rPr>
          <w:t>here</w:t>
        </w:r>
      </w:hyperlink>
      <w:r>
        <w:t>.</w:t>
      </w:r>
    </w:p>
    <w:p w:rsidR="002D02D5" w:rsidRDefault="002D02D5" w:rsidP="002D02D5">
      <w:pPr>
        <w:spacing w:after="0" w:line="240" w:lineRule="auto"/>
      </w:pPr>
    </w:p>
    <w:p w:rsidR="002D02D5" w:rsidRDefault="002D02D5" w:rsidP="002D02D5">
      <w:pPr>
        <w:spacing w:after="0" w:line="240" w:lineRule="auto"/>
      </w:pPr>
      <w:r>
        <w:t>Additional guidance on the correct use of Personal Protective Equipment (PPE) and relevant Control of Substances Hazardous to Health (COSHH) regulation will also be provided locally</w:t>
      </w:r>
      <w:r w:rsidR="00D66D31">
        <w:t xml:space="preserve"> in your ward (for nurse bank HCSW </w:t>
      </w:r>
      <w:r>
        <w:t xml:space="preserve">via your supervisor during your orientation shifts. </w:t>
      </w:r>
      <w:r w:rsidR="00A67F13">
        <w:t xml:space="preserve"> </w:t>
      </w:r>
      <w:r>
        <w:t xml:space="preserve">Supplementary skin health guidance (for your protection) is available </w:t>
      </w:r>
      <w:hyperlink r:id="rId8" w:history="1">
        <w:r w:rsidRPr="00AA52B6">
          <w:rPr>
            <w:rStyle w:val="Hyperlink"/>
            <w:b/>
          </w:rPr>
          <w:t>here</w:t>
        </w:r>
      </w:hyperlink>
      <w:r>
        <w:t>.</w:t>
      </w:r>
    </w:p>
    <w:p w:rsidR="002D02D5" w:rsidRDefault="002D02D5" w:rsidP="003D45D3">
      <w:pPr>
        <w:spacing w:after="0" w:line="240" w:lineRule="auto"/>
      </w:pPr>
    </w:p>
    <w:p w:rsidR="002D02D5" w:rsidRDefault="002D02D5" w:rsidP="003D45D3">
      <w:pPr>
        <w:spacing w:after="0" w:line="240" w:lineRule="auto"/>
      </w:pPr>
    </w:p>
    <w:p w:rsidR="00163AC1" w:rsidRDefault="00F173B8" w:rsidP="003D45D3">
      <w:pPr>
        <w:spacing w:after="0" w:line="240" w:lineRule="auto"/>
      </w:pPr>
      <w:r>
        <w:t>You will be provided with the necessary uniform and an identification badge which should be wor</w:t>
      </w:r>
      <w:r w:rsidR="002C6DBD">
        <w:t>n</w:t>
      </w:r>
      <w:r>
        <w:t xml:space="preserve"> at all times.</w:t>
      </w:r>
    </w:p>
    <w:p w:rsidR="00163AC1" w:rsidRDefault="00163AC1" w:rsidP="003D45D3">
      <w:pPr>
        <w:spacing w:after="0" w:line="240" w:lineRule="auto"/>
      </w:pPr>
    </w:p>
    <w:p w:rsidR="00A67F13" w:rsidRDefault="00A67F13" w:rsidP="003D45D3">
      <w:pPr>
        <w:spacing w:after="0" w:line="240" w:lineRule="auto"/>
      </w:pPr>
    </w:p>
    <w:p w:rsidR="00A67F13" w:rsidRDefault="00A67F13" w:rsidP="003D45D3">
      <w:pPr>
        <w:spacing w:after="0" w:line="240" w:lineRule="auto"/>
      </w:pPr>
    </w:p>
    <w:p w:rsidR="00A67F13" w:rsidRDefault="00A67F13" w:rsidP="003D45D3">
      <w:pPr>
        <w:spacing w:after="0" w:line="240" w:lineRule="auto"/>
      </w:pPr>
    </w:p>
    <w:p w:rsidR="00A67F13" w:rsidRDefault="00A67F13" w:rsidP="003D45D3">
      <w:pPr>
        <w:spacing w:after="0" w:line="240" w:lineRule="auto"/>
      </w:pPr>
    </w:p>
    <w:p w:rsidR="00A67F13" w:rsidRDefault="00A67F13" w:rsidP="003D45D3">
      <w:pPr>
        <w:spacing w:after="0" w:line="240" w:lineRule="auto"/>
      </w:pPr>
    </w:p>
    <w:p w:rsidR="00163AC1" w:rsidRPr="001E2A24" w:rsidRDefault="001E2A24" w:rsidP="003D45D3">
      <w:pPr>
        <w:spacing w:after="0" w:line="240" w:lineRule="auto"/>
        <w:rPr>
          <w:b/>
        </w:rPr>
      </w:pPr>
      <w:r w:rsidRPr="001E2A24">
        <w:rPr>
          <w:b/>
        </w:rPr>
        <w:lastRenderedPageBreak/>
        <w:t>Role Specific Learning and Reference Materials</w:t>
      </w:r>
    </w:p>
    <w:p w:rsidR="001E2A24" w:rsidRDefault="001E2A24" w:rsidP="003D45D3">
      <w:pPr>
        <w:spacing w:after="0" w:line="240" w:lineRule="auto"/>
      </w:pPr>
    </w:p>
    <w:p w:rsidR="001E2A24" w:rsidRDefault="001E2A24" w:rsidP="003D45D3">
      <w:pPr>
        <w:spacing w:after="0" w:line="240" w:lineRule="auto"/>
      </w:pPr>
      <w:r>
        <w:t>Care Rounding</w:t>
      </w:r>
    </w:p>
    <w:p w:rsidR="005C62E0" w:rsidRDefault="005C62E0" w:rsidP="005C62E0">
      <w:pPr>
        <w:spacing w:after="0" w:line="240" w:lineRule="auto"/>
      </w:pPr>
      <w:r>
        <w:t xml:space="preserve">One of the most important processes you will be involved in while in the ward is Care Rounding. </w:t>
      </w:r>
      <w:r w:rsidR="00A67F13">
        <w:t xml:space="preserve"> </w:t>
      </w:r>
      <w:r>
        <w:t xml:space="preserve">This is an intervention intended to improve patient safety however is also an opportunity to engage our patients in conversation and improve their overall experience. The chart that needs completed after each care round can be viewed </w:t>
      </w:r>
      <w:hyperlink r:id="rId9" w:history="1">
        <w:r w:rsidRPr="005C62E0">
          <w:rPr>
            <w:rStyle w:val="Hyperlink"/>
            <w:b/>
          </w:rPr>
          <w:t>here</w:t>
        </w:r>
      </w:hyperlink>
      <w:r>
        <w:t>.</w:t>
      </w:r>
    </w:p>
    <w:p w:rsidR="00A67F13" w:rsidRDefault="00A67F13" w:rsidP="005C62E0">
      <w:pPr>
        <w:spacing w:after="0" w:line="240" w:lineRule="auto"/>
      </w:pPr>
    </w:p>
    <w:p w:rsidR="001E2A24" w:rsidRDefault="005C62E0" w:rsidP="005C62E0">
      <w:pPr>
        <w:spacing w:after="0" w:line="240" w:lineRule="auto"/>
      </w:pPr>
      <w:r>
        <w:t xml:space="preserve">To learn more about the process, click </w:t>
      </w:r>
      <w:hyperlink r:id="rId10" w:history="1">
        <w:r w:rsidRPr="00AA52B6">
          <w:rPr>
            <w:rStyle w:val="Hyperlink"/>
            <w:b/>
          </w:rPr>
          <w:t>here</w:t>
        </w:r>
      </w:hyperlink>
      <w:r>
        <w:t xml:space="preserve"> for an audiovisual presentation, however if you prefer you can view the presentation with typed notes </w:t>
      </w:r>
      <w:hyperlink r:id="rId11" w:history="1">
        <w:r w:rsidRPr="005C62E0">
          <w:rPr>
            <w:rStyle w:val="Hyperlink"/>
            <w:b/>
          </w:rPr>
          <w:t>here</w:t>
        </w:r>
      </w:hyperlink>
      <w:r>
        <w:t>.</w:t>
      </w:r>
    </w:p>
    <w:p w:rsidR="001E627B" w:rsidRDefault="001E627B" w:rsidP="003D45D3">
      <w:pPr>
        <w:spacing w:after="0" w:line="240" w:lineRule="auto"/>
      </w:pPr>
    </w:p>
    <w:p w:rsidR="001E627B" w:rsidRDefault="001E627B" w:rsidP="003D45D3">
      <w:pPr>
        <w:spacing w:after="0" w:line="240" w:lineRule="auto"/>
      </w:pPr>
      <w:r>
        <w:t>Food, Fluid and Nutrition</w:t>
      </w:r>
    </w:p>
    <w:p w:rsidR="001E627B" w:rsidRDefault="001E627B" w:rsidP="003D45D3">
      <w:pPr>
        <w:spacing w:after="0" w:line="240" w:lineRule="auto"/>
      </w:pPr>
      <w:r>
        <w:t xml:space="preserve">Critical to patients’ wellbeing and recovery, you have a really important part to play in encouraging patients to eat and drink. </w:t>
      </w:r>
      <w:r w:rsidR="00A67F13">
        <w:t xml:space="preserve"> </w:t>
      </w:r>
      <w:r>
        <w:t>During your orientation shifts, make sure you link in with the mealtime coordinator at breakfast, lunch and dinner. You will learn about special diets, which of the patients are able to eat and drink and how to help patients with their meals.</w:t>
      </w:r>
      <w:r w:rsidR="00A67F13">
        <w:t xml:space="preserve"> </w:t>
      </w:r>
      <w:r>
        <w:t xml:space="preserve"> In addition you should find out what snacks you can offer vulnerable patients inbetween meals.</w:t>
      </w:r>
    </w:p>
    <w:p w:rsidR="00A67F13" w:rsidRDefault="00A67F13" w:rsidP="003D45D3">
      <w:pPr>
        <w:spacing w:after="0" w:line="240" w:lineRule="auto"/>
      </w:pPr>
    </w:p>
    <w:p w:rsidR="001E627B" w:rsidRDefault="001E627B" w:rsidP="003D45D3">
      <w:pPr>
        <w:spacing w:after="0" w:line="240" w:lineRule="auto"/>
      </w:pPr>
      <w:r>
        <w:t xml:space="preserve">The NHSGGC web pages for patients about </w:t>
      </w:r>
      <w:hyperlink r:id="rId12" w:history="1">
        <w:r w:rsidRPr="00AA52B6">
          <w:rPr>
            <w:rStyle w:val="Hyperlink"/>
            <w:b/>
          </w:rPr>
          <w:t>Food in Hospital</w:t>
        </w:r>
      </w:hyperlink>
      <w:r>
        <w:t xml:space="preserve"> are really useful</w:t>
      </w:r>
      <w:r w:rsidR="00AA52B6">
        <w:t xml:space="preserve"> reading.</w:t>
      </w:r>
    </w:p>
    <w:p w:rsidR="00F173B8" w:rsidRDefault="00F173B8" w:rsidP="00F173B8">
      <w:pPr>
        <w:spacing w:after="0" w:line="240" w:lineRule="auto"/>
        <w:rPr>
          <w:b/>
        </w:rPr>
      </w:pPr>
    </w:p>
    <w:p w:rsidR="00A67F13" w:rsidRDefault="00830970" w:rsidP="00F173B8">
      <w:pPr>
        <w:spacing w:after="0" w:line="240" w:lineRule="auto"/>
        <w:rPr>
          <w:b/>
        </w:rPr>
      </w:pPr>
      <w:r>
        <w:rPr>
          <w:b/>
        </w:rPr>
        <w:t xml:space="preserve">Blood Transfusion Practice </w:t>
      </w:r>
    </w:p>
    <w:p w:rsidR="00830970" w:rsidRPr="00830970" w:rsidRDefault="00830970" w:rsidP="00F173B8">
      <w:pPr>
        <w:spacing w:after="0" w:line="240" w:lineRule="auto"/>
      </w:pPr>
      <w:r w:rsidRPr="00830970">
        <w:t xml:space="preserve">Some </w:t>
      </w:r>
      <w:r>
        <w:t xml:space="preserve">HCSWs may be involved in the Transfusion process. It is essential to discuss this with your SCN or Team Lead. Here is a presentation </w:t>
      </w:r>
      <w:bookmarkStart w:id="0" w:name="_GoBack"/>
      <w:bookmarkEnd w:id="0"/>
      <w:r>
        <w:t xml:space="preserve">if this refers to you. </w:t>
      </w:r>
    </w:p>
    <w:p w:rsidR="00830970" w:rsidRDefault="00EE75D8" w:rsidP="00F173B8">
      <w:pPr>
        <w:spacing w:after="0" w:line="240" w:lineRule="auto"/>
        <w:rPr>
          <w:b/>
        </w:rPr>
      </w:pPr>
      <w:hyperlink r:id="rId13" w:history="1">
        <w:r w:rsidR="00830970">
          <w:rPr>
            <w:rStyle w:val="Hyperlink"/>
          </w:rPr>
          <w:t>Safe and Local Transfusion practice HCSW Band 3/4</w:t>
        </w:r>
      </w:hyperlink>
    </w:p>
    <w:p w:rsidR="00830970" w:rsidRDefault="00830970" w:rsidP="00F173B8">
      <w:pPr>
        <w:spacing w:after="0" w:line="240" w:lineRule="auto"/>
        <w:rPr>
          <w:b/>
        </w:rPr>
      </w:pPr>
    </w:p>
    <w:p w:rsidR="00830970" w:rsidRDefault="00830970" w:rsidP="00F173B8">
      <w:pPr>
        <w:spacing w:after="0" w:line="240" w:lineRule="auto"/>
        <w:rPr>
          <w:b/>
        </w:rPr>
      </w:pPr>
    </w:p>
    <w:p w:rsidR="00F173B8" w:rsidRPr="00882D49" w:rsidRDefault="00F173B8" w:rsidP="00F173B8">
      <w:pPr>
        <w:spacing w:after="0" w:line="240" w:lineRule="auto"/>
        <w:rPr>
          <w:b/>
        </w:rPr>
      </w:pPr>
      <w:r w:rsidRPr="00882D49">
        <w:rPr>
          <w:b/>
        </w:rPr>
        <w:t>Ward Based Support</w:t>
      </w:r>
    </w:p>
    <w:p w:rsidR="00F173B8" w:rsidRDefault="00F173B8" w:rsidP="00F173B8">
      <w:pPr>
        <w:spacing w:after="0" w:line="240" w:lineRule="auto"/>
      </w:pPr>
    </w:p>
    <w:p w:rsidR="00163AC1" w:rsidRDefault="00F173B8" w:rsidP="003D45D3">
      <w:pPr>
        <w:spacing w:after="0" w:line="240" w:lineRule="auto"/>
      </w:pPr>
      <w:r>
        <w:t xml:space="preserve">Patient care is completely dependent on team working and you will never be left alone in a ward. </w:t>
      </w:r>
      <w:r w:rsidR="00A67F13">
        <w:t xml:space="preserve"> </w:t>
      </w:r>
      <w:r>
        <w:t xml:space="preserve">In most cases, you will be working with a Registered Nurse caring for a number of patients. </w:t>
      </w:r>
      <w:r w:rsidR="00A67F13">
        <w:t xml:space="preserve"> </w:t>
      </w:r>
      <w:r>
        <w:t xml:space="preserve">You will rely on and support each other, from planning the care at the beginning of the shift, throughout the day with close communication and assistance. During your </w:t>
      </w:r>
      <w:r w:rsidR="00D66D31">
        <w:t xml:space="preserve">first few weeks (or </w:t>
      </w:r>
      <w:r>
        <w:t>orientation shifts</w:t>
      </w:r>
      <w:r w:rsidR="00D66D31">
        <w:t xml:space="preserve"> if nurse bank</w:t>
      </w:r>
      <w:r w:rsidR="00D22F21">
        <w:t xml:space="preserve"> HCSW</w:t>
      </w:r>
      <w:r w:rsidR="00D66D31">
        <w:t xml:space="preserve">) </w:t>
      </w:r>
      <w:r>
        <w:t>, you may be ‘buddied’ with a more experienced Health Care Support Worker so use this time to discuss the role in as much detail as possible, and learn from their knowledge and experience.</w:t>
      </w:r>
    </w:p>
    <w:p w:rsidR="005F4B76" w:rsidRDefault="005F4B76" w:rsidP="003D45D3">
      <w:pPr>
        <w:spacing w:after="0" w:line="240" w:lineRule="auto"/>
      </w:pPr>
    </w:p>
    <w:p w:rsidR="005F4B76" w:rsidRDefault="002C6DBD" w:rsidP="002C6DBD">
      <w:pPr>
        <w:spacing w:after="0" w:line="240" w:lineRule="auto"/>
      </w:pPr>
      <w:r w:rsidRPr="00A663C0">
        <w:t>NHS Education for Scotland (NES) are developing a range of educational and induction resources.</w:t>
      </w:r>
      <w:r w:rsidR="00A67F13">
        <w:t xml:space="preserve"> </w:t>
      </w:r>
      <w:r w:rsidRPr="00A663C0">
        <w:t> This is available for all health and social care staff and volunteers deployed to support clinical services, but will be particularly useful in the event of people needing redeployed to other areas.</w:t>
      </w:r>
      <w:r>
        <w:t xml:space="preserve"> </w:t>
      </w:r>
      <w:r w:rsidR="00A67F13">
        <w:t xml:space="preserve"> </w:t>
      </w:r>
      <w:r>
        <w:t xml:space="preserve">To access these resources, click </w:t>
      </w:r>
      <w:hyperlink r:id="rId14" w:history="1">
        <w:r w:rsidRPr="00A663C0">
          <w:rPr>
            <w:rStyle w:val="Hyperlink"/>
            <w:b/>
          </w:rPr>
          <w:t>here</w:t>
        </w:r>
      </w:hyperlink>
      <w:r>
        <w:t>.</w:t>
      </w:r>
    </w:p>
    <w:sectPr w:rsidR="005F4B76" w:rsidSect="000A7B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57C66"/>
    <w:multiLevelType w:val="hybridMultilevel"/>
    <w:tmpl w:val="43522DB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C0E4368"/>
    <w:multiLevelType w:val="hybridMultilevel"/>
    <w:tmpl w:val="8134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486159"/>
    <w:multiLevelType w:val="hybridMultilevel"/>
    <w:tmpl w:val="9D0A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AC1"/>
    <w:rsid w:val="00060F91"/>
    <w:rsid w:val="00091917"/>
    <w:rsid w:val="000A7B2B"/>
    <w:rsid w:val="000E5B46"/>
    <w:rsid w:val="00105C89"/>
    <w:rsid w:val="0013308D"/>
    <w:rsid w:val="0016295A"/>
    <w:rsid w:val="00163AC1"/>
    <w:rsid w:val="001D679B"/>
    <w:rsid w:val="001E2A24"/>
    <w:rsid w:val="001E627B"/>
    <w:rsid w:val="001E6DA5"/>
    <w:rsid w:val="002C6DBD"/>
    <w:rsid w:val="002D02D5"/>
    <w:rsid w:val="002F24C3"/>
    <w:rsid w:val="00332E14"/>
    <w:rsid w:val="00392384"/>
    <w:rsid w:val="003D45D3"/>
    <w:rsid w:val="00433B2D"/>
    <w:rsid w:val="00446421"/>
    <w:rsid w:val="00485D88"/>
    <w:rsid w:val="004A0F19"/>
    <w:rsid w:val="004C09FB"/>
    <w:rsid w:val="005372D7"/>
    <w:rsid w:val="00565F54"/>
    <w:rsid w:val="005C62E0"/>
    <w:rsid w:val="005F4B76"/>
    <w:rsid w:val="00673A2A"/>
    <w:rsid w:val="006955B1"/>
    <w:rsid w:val="006D46CD"/>
    <w:rsid w:val="0072271B"/>
    <w:rsid w:val="00731E46"/>
    <w:rsid w:val="007D7655"/>
    <w:rsid w:val="00830970"/>
    <w:rsid w:val="00837AE5"/>
    <w:rsid w:val="00882D49"/>
    <w:rsid w:val="008A5F8C"/>
    <w:rsid w:val="008A7AE7"/>
    <w:rsid w:val="00910E53"/>
    <w:rsid w:val="0094338C"/>
    <w:rsid w:val="009A720D"/>
    <w:rsid w:val="00A67F13"/>
    <w:rsid w:val="00AA52B6"/>
    <w:rsid w:val="00AB255D"/>
    <w:rsid w:val="00B118EA"/>
    <w:rsid w:val="00B56F6B"/>
    <w:rsid w:val="00BA7FA1"/>
    <w:rsid w:val="00BB019F"/>
    <w:rsid w:val="00C35172"/>
    <w:rsid w:val="00C67CB6"/>
    <w:rsid w:val="00C75564"/>
    <w:rsid w:val="00CC1AE5"/>
    <w:rsid w:val="00D00EBC"/>
    <w:rsid w:val="00D22F21"/>
    <w:rsid w:val="00D25EE5"/>
    <w:rsid w:val="00D66D31"/>
    <w:rsid w:val="00DA2D59"/>
    <w:rsid w:val="00DE698C"/>
    <w:rsid w:val="00E2748D"/>
    <w:rsid w:val="00EC3F59"/>
    <w:rsid w:val="00EE75D8"/>
    <w:rsid w:val="00EF4B93"/>
    <w:rsid w:val="00F0167F"/>
    <w:rsid w:val="00F044B6"/>
    <w:rsid w:val="00F078C1"/>
    <w:rsid w:val="00F173B8"/>
    <w:rsid w:val="00FA2A14"/>
    <w:rsid w:val="00FE3A10"/>
    <w:rsid w:val="00FE6237"/>
    <w:rsid w:val="00FE73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5D3"/>
    <w:rPr>
      <w:color w:val="0000FF" w:themeColor="hyperlink"/>
      <w:u w:val="single"/>
    </w:rPr>
  </w:style>
  <w:style w:type="character" w:styleId="FollowedHyperlink">
    <w:name w:val="FollowedHyperlink"/>
    <w:basedOn w:val="DefaultParagraphFont"/>
    <w:uiPriority w:val="99"/>
    <w:semiHidden/>
    <w:unhideWhenUsed/>
    <w:rsid w:val="003D45D3"/>
    <w:rPr>
      <w:color w:val="800080" w:themeColor="followedHyperlink"/>
      <w:u w:val="single"/>
    </w:rPr>
  </w:style>
  <w:style w:type="paragraph" w:styleId="ListParagraph">
    <w:name w:val="List Paragraph"/>
    <w:basedOn w:val="Normal"/>
    <w:uiPriority w:val="34"/>
    <w:qFormat/>
    <w:rsid w:val="00332E14"/>
    <w:pPr>
      <w:ind w:left="720"/>
      <w:contextualSpacing/>
    </w:pPr>
  </w:style>
  <w:style w:type="table" w:styleId="TableGrid">
    <w:name w:val="Table Grid"/>
    <w:basedOn w:val="TableNormal"/>
    <w:uiPriority w:val="59"/>
    <w:rsid w:val="004A0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B76"/>
    <w:rPr>
      <w:rFonts w:ascii="Tahoma" w:hAnsi="Tahoma" w:cs="Tahoma"/>
      <w:sz w:val="16"/>
      <w:szCs w:val="16"/>
    </w:rPr>
  </w:style>
  <w:style w:type="character" w:styleId="Strong">
    <w:name w:val="Strong"/>
    <w:basedOn w:val="DefaultParagraphFont"/>
    <w:uiPriority w:val="22"/>
    <w:qFormat/>
    <w:rsid w:val="00A67F13"/>
    <w:rPr>
      <w:b/>
      <w:bCs/>
    </w:rPr>
  </w:style>
</w:styles>
</file>

<file path=word/webSettings.xml><?xml version="1.0" encoding="utf-8"?>
<w:webSettings xmlns:r="http://schemas.openxmlformats.org/officeDocument/2006/relationships" xmlns:w="http://schemas.openxmlformats.org/wordprocessingml/2006/main">
  <w:divs>
    <w:div w:id="538785821">
      <w:bodyDiv w:val="1"/>
      <w:marLeft w:val="0"/>
      <w:marRight w:val="0"/>
      <w:marTop w:val="0"/>
      <w:marBottom w:val="0"/>
      <w:divBdr>
        <w:top w:val="none" w:sz="0" w:space="0" w:color="auto"/>
        <w:left w:val="none" w:sz="0" w:space="0" w:color="auto"/>
        <w:bottom w:val="none" w:sz="0" w:space="0" w:color="auto"/>
        <w:right w:val="none" w:sz="0" w:space="0" w:color="auto"/>
      </w:divBdr>
      <w:divsChild>
        <w:div w:id="246962176">
          <w:marLeft w:val="0"/>
          <w:marRight w:val="0"/>
          <w:marTop w:val="0"/>
          <w:marBottom w:val="0"/>
          <w:divBdr>
            <w:top w:val="none" w:sz="0" w:space="0" w:color="auto"/>
            <w:left w:val="none" w:sz="0" w:space="0" w:color="auto"/>
            <w:bottom w:val="none" w:sz="0" w:space="0" w:color="auto"/>
            <w:right w:val="none" w:sz="0" w:space="0" w:color="auto"/>
          </w:divBdr>
          <w:divsChild>
            <w:div w:id="2076665780">
              <w:marLeft w:val="0"/>
              <w:marRight w:val="0"/>
              <w:marTop w:val="0"/>
              <w:marBottom w:val="0"/>
              <w:divBdr>
                <w:top w:val="none" w:sz="0" w:space="0" w:color="auto"/>
                <w:left w:val="none" w:sz="0" w:space="0" w:color="auto"/>
                <w:bottom w:val="none" w:sz="0" w:space="0" w:color="auto"/>
                <w:right w:val="none" w:sz="0" w:space="0" w:color="auto"/>
              </w:divBdr>
              <w:divsChild>
                <w:div w:id="1732539974">
                  <w:marLeft w:val="0"/>
                  <w:marRight w:val="0"/>
                  <w:marTop w:val="0"/>
                  <w:marBottom w:val="0"/>
                  <w:divBdr>
                    <w:top w:val="none" w:sz="0" w:space="0" w:color="auto"/>
                    <w:left w:val="none" w:sz="0" w:space="0" w:color="auto"/>
                    <w:bottom w:val="none" w:sz="0" w:space="0" w:color="auto"/>
                    <w:right w:val="none" w:sz="0" w:space="0" w:color="auto"/>
                  </w:divBdr>
                  <w:divsChild>
                    <w:div w:id="1242637013">
                      <w:marLeft w:val="0"/>
                      <w:marRight w:val="0"/>
                      <w:marTop w:val="0"/>
                      <w:marBottom w:val="0"/>
                      <w:divBdr>
                        <w:top w:val="none" w:sz="0" w:space="0" w:color="auto"/>
                        <w:left w:val="none" w:sz="0" w:space="0" w:color="auto"/>
                        <w:bottom w:val="none" w:sz="0" w:space="0" w:color="auto"/>
                        <w:right w:val="none" w:sz="0" w:space="0" w:color="auto"/>
                      </w:divBdr>
                      <w:divsChild>
                        <w:div w:id="314799271">
                          <w:marLeft w:val="0"/>
                          <w:marRight w:val="0"/>
                          <w:marTop w:val="0"/>
                          <w:marBottom w:val="0"/>
                          <w:divBdr>
                            <w:top w:val="none" w:sz="0" w:space="0" w:color="auto"/>
                            <w:left w:val="none" w:sz="0" w:space="0" w:color="auto"/>
                            <w:bottom w:val="none" w:sz="0" w:space="0" w:color="auto"/>
                            <w:right w:val="none" w:sz="0" w:space="0" w:color="auto"/>
                          </w:divBdr>
                          <w:divsChild>
                            <w:div w:id="1037702750">
                              <w:marLeft w:val="0"/>
                              <w:marRight w:val="0"/>
                              <w:marTop w:val="0"/>
                              <w:marBottom w:val="0"/>
                              <w:divBdr>
                                <w:top w:val="none" w:sz="0" w:space="0" w:color="auto"/>
                                <w:left w:val="none" w:sz="0" w:space="0" w:color="auto"/>
                                <w:bottom w:val="none" w:sz="0" w:space="0" w:color="auto"/>
                                <w:right w:val="none" w:sz="0" w:space="0" w:color="auto"/>
                              </w:divBdr>
                            </w:div>
                            <w:div w:id="810486892">
                              <w:marLeft w:val="0"/>
                              <w:marRight w:val="0"/>
                              <w:marTop w:val="0"/>
                              <w:marBottom w:val="0"/>
                              <w:divBdr>
                                <w:top w:val="none" w:sz="0" w:space="0" w:color="auto"/>
                                <w:left w:val="none" w:sz="0" w:space="0" w:color="auto"/>
                                <w:bottom w:val="none" w:sz="0" w:space="0" w:color="auto"/>
                                <w:right w:val="none" w:sz="0" w:space="0" w:color="auto"/>
                              </w:divBdr>
                              <w:divsChild>
                                <w:div w:id="8391243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456758">
      <w:bodyDiv w:val="1"/>
      <w:marLeft w:val="0"/>
      <w:marRight w:val="0"/>
      <w:marTop w:val="0"/>
      <w:marBottom w:val="0"/>
      <w:divBdr>
        <w:top w:val="none" w:sz="0" w:space="0" w:color="auto"/>
        <w:left w:val="none" w:sz="0" w:space="0" w:color="auto"/>
        <w:bottom w:val="none" w:sz="0" w:space="0" w:color="auto"/>
        <w:right w:val="none" w:sz="0" w:space="0" w:color="auto"/>
      </w:divBdr>
      <w:divsChild>
        <w:div w:id="1941330681">
          <w:marLeft w:val="0"/>
          <w:marRight w:val="0"/>
          <w:marTop w:val="0"/>
          <w:marBottom w:val="0"/>
          <w:divBdr>
            <w:top w:val="none" w:sz="0" w:space="0" w:color="auto"/>
            <w:left w:val="none" w:sz="0" w:space="0" w:color="auto"/>
            <w:bottom w:val="none" w:sz="0" w:space="0" w:color="auto"/>
            <w:right w:val="none" w:sz="0" w:space="0" w:color="auto"/>
          </w:divBdr>
          <w:divsChild>
            <w:div w:id="1334265544">
              <w:marLeft w:val="0"/>
              <w:marRight w:val="0"/>
              <w:marTop w:val="0"/>
              <w:marBottom w:val="0"/>
              <w:divBdr>
                <w:top w:val="none" w:sz="0" w:space="0" w:color="auto"/>
                <w:left w:val="none" w:sz="0" w:space="0" w:color="auto"/>
                <w:bottom w:val="none" w:sz="0" w:space="0" w:color="auto"/>
                <w:right w:val="none" w:sz="0" w:space="0" w:color="auto"/>
              </w:divBdr>
              <w:divsChild>
                <w:div w:id="21374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8287">
      <w:bodyDiv w:val="1"/>
      <w:marLeft w:val="0"/>
      <w:marRight w:val="0"/>
      <w:marTop w:val="0"/>
      <w:marBottom w:val="0"/>
      <w:divBdr>
        <w:top w:val="none" w:sz="0" w:space="0" w:color="auto"/>
        <w:left w:val="none" w:sz="0" w:space="0" w:color="auto"/>
        <w:bottom w:val="none" w:sz="0" w:space="0" w:color="auto"/>
        <w:right w:val="none" w:sz="0" w:space="0" w:color="auto"/>
      </w:divBdr>
      <w:divsChild>
        <w:div w:id="733894556">
          <w:marLeft w:val="0"/>
          <w:marRight w:val="0"/>
          <w:marTop w:val="0"/>
          <w:marBottom w:val="0"/>
          <w:divBdr>
            <w:top w:val="none" w:sz="0" w:space="0" w:color="auto"/>
            <w:left w:val="none" w:sz="0" w:space="0" w:color="auto"/>
            <w:bottom w:val="none" w:sz="0" w:space="0" w:color="auto"/>
            <w:right w:val="none" w:sz="0" w:space="0" w:color="auto"/>
          </w:divBdr>
          <w:divsChild>
            <w:div w:id="274021531">
              <w:marLeft w:val="0"/>
              <w:marRight w:val="0"/>
              <w:marTop w:val="0"/>
              <w:marBottom w:val="0"/>
              <w:divBdr>
                <w:top w:val="none" w:sz="0" w:space="0" w:color="auto"/>
                <w:left w:val="none" w:sz="0" w:space="0" w:color="auto"/>
                <w:bottom w:val="none" w:sz="0" w:space="0" w:color="auto"/>
                <w:right w:val="none" w:sz="0" w:space="0" w:color="auto"/>
              </w:divBdr>
              <w:divsChild>
                <w:div w:id="1451850607">
                  <w:marLeft w:val="0"/>
                  <w:marRight w:val="0"/>
                  <w:marTop w:val="0"/>
                  <w:marBottom w:val="0"/>
                  <w:divBdr>
                    <w:top w:val="none" w:sz="0" w:space="0" w:color="auto"/>
                    <w:left w:val="none" w:sz="0" w:space="0" w:color="auto"/>
                    <w:bottom w:val="none" w:sz="0" w:space="0" w:color="auto"/>
                    <w:right w:val="none" w:sz="0" w:space="0" w:color="auto"/>
                  </w:divBdr>
                  <w:divsChild>
                    <w:div w:id="1156721442">
                      <w:marLeft w:val="0"/>
                      <w:marRight w:val="0"/>
                      <w:marTop w:val="0"/>
                      <w:marBottom w:val="0"/>
                      <w:divBdr>
                        <w:top w:val="none" w:sz="0" w:space="0" w:color="auto"/>
                        <w:left w:val="none" w:sz="0" w:space="0" w:color="auto"/>
                        <w:bottom w:val="none" w:sz="0" w:space="0" w:color="auto"/>
                        <w:right w:val="none" w:sz="0" w:space="0" w:color="auto"/>
                      </w:divBdr>
                      <w:divsChild>
                        <w:div w:id="316569717">
                          <w:marLeft w:val="0"/>
                          <w:marRight w:val="0"/>
                          <w:marTop w:val="0"/>
                          <w:marBottom w:val="300"/>
                          <w:divBdr>
                            <w:top w:val="single" w:sz="2" w:space="4" w:color="E7E8E8"/>
                            <w:left w:val="single" w:sz="2" w:space="4" w:color="E7E8E8"/>
                            <w:bottom w:val="single" w:sz="2" w:space="4" w:color="E7E8E8"/>
                            <w:right w:val="single" w:sz="2" w:space="4" w:color="E7E8E8"/>
                          </w:divBdr>
                          <w:divsChild>
                            <w:div w:id="199704321">
                              <w:marLeft w:val="1800"/>
                              <w:marRight w:val="0"/>
                              <w:marTop w:val="0"/>
                              <w:marBottom w:val="0"/>
                              <w:divBdr>
                                <w:top w:val="none" w:sz="0" w:space="0" w:color="auto"/>
                                <w:left w:val="none" w:sz="0" w:space="0" w:color="auto"/>
                                <w:bottom w:val="none" w:sz="0" w:space="0" w:color="auto"/>
                                <w:right w:val="none" w:sz="0" w:space="0" w:color="auto"/>
                              </w:divBdr>
                              <w:divsChild>
                                <w:div w:id="15154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4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ggc.org.uk/media/240570/nhsggc-health-safety-toolbox-talk-skin-health-nov-17.pdf" TargetMode="External"/><Relationship Id="rId13" Type="http://schemas.openxmlformats.org/officeDocument/2006/relationships/hyperlink" Target="https://www.youtube.com/results?search_query=blood+transfusion+nhsggc" TargetMode="External"/><Relationship Id="rId3" Type="http://schemas.openxmlformats.org/officeDocument/2006/relationships/settings" Target="settings.xml"/><Relationship Id="rId7" Type="http://schemas.openxmlformats.org/officeDocument/2006/relationships/hyperlink" Target="https://www.youtube.com/watch?v=NPJirTkajx0" TargetMode="External"/><Relationship Id="rId12" Type="http://schemas.openxmlformats.org/officeDocument/2006/relationships/hyperlink" Target="https://www.nhsggc.org.uk/patients-and-visitors/information-for-patients/food-fir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86JLXmPjtnk" TargetMode="External"/><Relationship Id="rId11" Type="http://schemas.openxmlformats.org/officeDocument/2006/relationships/hyperlink" Target="https://www.nhsggc.org.uk/media/259567/care-rounding-guidance-for-hcsw.pdf" TargetMode="External"/><Relationship Id="rId5" Type="http://schemas.openxmlformats.org/officeDocument/2006/relationships/hyperlink" Target="https://nhs.learnprouk.com/lms/login.aspx?ReturnUrl=%2flms%2fuser_level%2fwelcome.aspx" TargetMode="External"/><Relationship Id="rId15" Type="http://schemas.openxmlformats.org/officeDocument/2006/relationships/fontTable" Target="fontTable.xml"/><Relationship Id="rId10" Type="http://schemas.openxmlformats.org/officeDocument/2006/relationships/hyperlink" Target="https://www.youtube.com/watch?v=LUrRS2ks7ZI" TargetMode="External"/><Relationship Id="rId4" Type="http://schemas.openxmlformats.org/officeDocument/2006/relationships/webSettings" Target="webSettings.xml"/><Relationship Id="rId9" Type="http://schemas.openxmlformats.org/officeDocument/2006/relationships/hyperlink" Target="https://www.nhsggc.org.uk/media/259566/278936_2_1_carerounding-online-version.pdf" TargetMode="External"/><Relationship Id="rId14" Type="http://schemas.openxmlformats.org/officeDocument/2006/relationships/hyperlink" Target="https://learn.nes.nhs.scot/27993/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Kirk</dc:creator>
  <cp:lastModifiedBy>ellioer564</cp:lastModifiedBy>
  <cp:revision>2</cp:revision>
  <dcterms:created xsi:type="dcterms:W3CDTF">2020-07-27T12:14:00Z</dcterms:created>
  <dcterms:modified xsi:type="dcterms:W3CDTF">2020-07-27T12:14:00Z</dcterms:modified>
</cp:coreProperties>
</file>