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75" w:rsidRPr="009F0B1D" w:rsidRDefault="00452C6E" w:rsidP="00A75201">
      <w:pPr>
        <w:shd w:val="clear" w:color="auto" w:fill="FFFFFF"/>
        <w:ind w:left="0" w:firstLine="0"/>
        <w:outlineLvl w:val="1"/>
        <w:rPr>
          <w:rFonts w:cs="Arial"/>
          <w:b/>
          <w:bCs/>
          <w:sz w:val="20"/>
          <w:szCs w:val="20"/>
          <w:lang w:eastAsia="en-GB"/>
        </w:rPr>
      </w:pPr>
      <w:r>
        <w:rPr>
          <w:noProof/>
          <w:lang w:eastAsia="en-GB"/>
        </w:rPr>
        <w:drawing>
          <wp:anchor distT="0" distB="0" distL="114300" distR="114300" simplePos="0" relativeHeight="251657728" behindDoc="1" locked="0" layoutInCell="1" allowOverlap="1">
            <wp:simplePos x="0" y="0"/>
            <wp:positionH relativeFrom="column">
              <wp:posOffset>7982585</wp:posOffset>
            </wp:positionH>
            <wp:positionV relativeFrom="paragraph">
              <wp:posOffset>-332740</wp:posOffset>
            </wp:positionV>
            <wp:extent cx="883285" cy="634365"/>
            <wp:effectExtent l="19050" t="0" r="0" b="0"/>
            <wp:wrapTight wrapText="bothSides">
              <wp:wrapPolygon edited="0">
                <wp:start x="-466" y="0"/>
                <wp:lineTo x="-466" y="20757"/>
                <wp:lineTo x="21429" y="20757"/>
                <wp:lineTo x="21429" y="0"/>
                <wp:lineTo x="-4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83285" cy="634365"/>
                    </a:xfrm>
                    <a:prstGeom prst="rect">
                      <a:avLst/>
                    </a:prstGeom>
                    <a:noFill/>
                  </pic:spPr>
                </pic:pic>
              </a:graphicData>
            </a:graphic>
          </wp:anchor>
        </w:drawing>
      </w:r>
      <w:r w:rsidR="00681375" w:rsidRPr="009F0B1D">
        <w:rPr>
          <w:rFonts w:cs="Arial"/>
          <w:b/>
          <w:bCs/>
          <w:sz w:val="20"/>
          <w:szCs w:val="20"/>
          <w:lang w:eastAsia="en-GB"/>
        </w:rPr>
        <w:t>Risk Assessment</w:t>
      </w:r>
    </w:p>
    <w:p w:rsidR="00681375" w:rsidRPr="008D27DB" w:rsidRDefault="00681375" w:rsidP="00A75201">
      <w:pPr>
        <w:shd w:val="clear" w:color="auto" w:fill="FFFFFF"/>
        <w:ind w:left="0" w:firstLine="0"/>
        <w:outlineLvl w:val="1"/>
        <w:rPr>
          <w:rFonts w:cs="Arial"/>
          <w:b/>
          <w:bCs/>
          <w:sz w:val="18"/>
          <w:szCs w:val="18"/>
          <w:lang w:eastAsia="en-GB"/>
        </w:rPr>
      </w:pPr>
      <w:r w:rsidRPr="008D27DB">
        <w:rPr>
          <w:rFonts w:cs="Arial"/>
          <w:b/>
          <w:bCs/>
          <w:sz w:val="18"/>
          <w:szCs w:val="18"/>
          <w:lang w:eastAsia="en-GB"/>
        </w:rPr>
        <w:t>Underlying Health Conditions, B</w:t>
      </w:r>
      <w:r w:rsidR="00FD26A8" w:rsidRPr="008D27DB">
        <w:rPr>
          <w:rFonts w:cs="Arial"/>
          <w:b/>
          <w:bCs/>
          <w:sz w:val="18"/>
          <w:szCs w:val="18"/>
          <w:lang w:eastAsia="en-GB"/>
        </w:rPr>
        <w:t>lack Asian and Minority Ethnic (B</w:t>
      </w:r>
      <w:r w:rsidRPr="008D27DB">
        <w:rPr>
          <w:rFonts w:cs="Arial"/>
          <w:b/>
          <w:bCs/>
          <w:sz w:val="18"/>
          <w:szCs w:val="18"/>
          <w:lang w:eastAsia="en-GB"/>
        </w:rPr>
        <w:t>AME</w:t>
      </w:r>
      <w:r w:rsidR="00FD26A8" w:rsidRPr="008D27DB">
        <w:rPr>
          <w:rFonts w:cs="Arial"/>
          <w:b/>
          <w:bCs/>
          <w:sz w:val="18"/>
          <w:szCs w:val="18"/>
          <w:lang w:eastAsia="en-GB"/>
        </w:rPr>
        <w:t>)</w:t>
      </w:r>
      <w:r w:rsidRPr="008D27DB">
        <w:rPr>
          <w:rFonts w:cs="Arial"/>
          <w:b/>
          <w:bCs/>
          <w:sz w:val="18"/>
          <w:szCs w:val="18"/>
          <w:lang w:eastAsia="en-GB"/>
        </w:rPr>
        <w:t xml:space="preserve"> and Pregnant Workers – COVID-19 (Version </w:t>
      </w:r>
      <w:r w:rsidR="00E81063">
        <w:rPr>
          <w:rFonts w:cs="Arial"/>
          <w:b/>
          <w:bCs/>
          <w:sz w:val="18"/>
          <w:szCs w:val="18"/>
          <w:lang w:eastAsia="en-GB"/>
        </w:rPr>
        <w:t>10</w:t>
      </w:r>
      <w:bookmarkStart w:id="0" w:name="_GoBack"/>
      <w:bookmarkEnd w:id="0"/>
      <w:r w:rsidRPr="008D27DB">
        <w:rPr>
          <w:rFonts w:cs="Arial"/>
          <w:b/>
          <w:bCs/>
          <w:sz w:val="18"/>
          <w:szCs w:val="18"/>
          <w:lang w:eastAsia="en-GB"/>
        </w:rPr>
        <w:t xml:space="preserve"> – Updated 1</w:t>
      </w:r>
      <w:r w:rsidR="00242F5E" w:rsidRPr="008D27DB">
        <w:rPr>
          <w:rFonts w:cs="Arial"/>
          <w:b/>
          <w:bCs/>
          <w:sz w:val="18"/>
          <w:szCs w:val="18"/>
          <w:lang w:eastAsia="en-GB"/>
        </w:rPr>
        <w:t>9</w:t>
      </w:r>
      <w:r w:rsidRPr="008D27DB">
        <w:rPr>
          <w:rFonts w:cs="Arial"/>
          <w:b/>
          <w:bCs/>
          <w:sz w:val="18"/>
          <w:szCs w:val="18"/>
          <w:vertAlign w:val="superscript"/>
          <w:lang w:eastAsia="en-GB"/>
        </w:rPr>
        <w:t>th</w:t>
      </w:r>
      <w:r w:rsidRPr="008D27DB">
        <w:rPr>
          <w:rFonts w:cs="Arial"/>
          <w:b/>
          <w:bCs/>
          <w:sz w:val="18"/>
          <w:szCs w:val="18"/>
          <w:lang w:eastAsia="en-GB"/>
        </w:rPr>
        <w:t xml:space="preserve"> June 2020)</w:t>
      </w:r>
    </w:p>
    <w:p w:rsidR="00681375" w:rsidRPr="009F0B1D" w:rsidRDefault="00681375" w:rsidP="00A75201">
      <w:pPr>
        <w:shd w:val="clear" w:color="auto" w:fill="FFFFFF"/>
        <w:ind w:left="0" w:firstLine="0"/>
        <w:outlineLvl w:val="1"/>
        <w:rPr>
          <w:rFonts w:cs="Arial"/>
          <w:b/>
          <w:bCs/>
          <w:sz w:val="20"/>
          <w:szCs w:val="20"/>
          <w:lang w:eastAsia="en-GB"/>
        </w:rPr>
      </w:pPr>
    </w:p>
    <w:p w:rsidR="00681375" w:rsidRPr="00E20143" w:rsidRDefault="00681375" w:rsidP="00A75201">
      <w:pPr>
        <w:pStyle w:val="Default"/>
        <w:rPr>
          <w:sz w:val="20"/>
          <w:szCs w:val="20"/>
        </w:rPr>
      </w:pPr>
      <w:r w:rsidRPr="009F0B1D">
        <w:rPr>
          <w:sz w:val="20"/>
          <w:szCs w:val="20"/>
        </w:rPr>
        <w:t xml:space="preserve">The detailed guidance from the Scottish Government for healthcare workers with underlying health conditions is available on our dedicated web pages at </w:t>
      </w:r>
      <w:hyperlink r:id="rId7" w:history="1">
        <w:r w:rsidRPr="009F0B1D">
          <w:rPr>
            <w:rStyle w:val="Hyperlink"/>
            <w:rFonts w:cs="Arial"/>
            <w:sz w:val="20"/>
            <w:szCs w:val="20"/>
          </w:rPr>
          <w:t>www.nhsggc.org.uk/covid19</w:t>
        </w:r>
      </w:hyperlink>
      <w:r w:rsidRPr="009F0B1D">
        <w:rPr>
          <w:sz w:val="20"/>
          <w:szCs w:val="20"/>
        </w:rPr>
        <w:t>.</w:t>
      </w:r>
      <w:r>
        <w:rPr>
          <w:sz w:val="20"/>
          <w:szCs w:val="20"/>
        </w:rPr>
        <w:t xml:space="preserve">  </w:t>
      </w:r>
      <w:r w:rsidRPr="009F0B1D">
        <w:rPr>
          <w:sz w:val="20"/>
          <w:szCs w:val="20"/>
        </w:rPr>
        <w:t>This form is intended to assist with assessing</w:t>
      </w:r>
      <w:r>
        <w:rPr>
          <w:sz w:val="20"/>
          <w:szCs w:val="20"/>
        </w:rPr>
        <w:t xml:space="preserve"> and recording</w:t>
      </w:r>
      <w:r w:rsidRPr="009F0B1D">
        <w:rPr>
          <w:sz w:val="20"/>
          <w:szCs w:val="20"/>
        </w:rPr>
        <w:t xml:space="preserve"> risks of staff members </w:t>
      </w:r>
      <w:r>
        <w:rPr>
          <w:sz w:val="20"/>
          <w:szCs w:val="20"/>
        </w:rPr>
        <w:t>in high risk groups</w:t>
      </w:r>
      <w:r w:rsidRPr="009F0B1D">
        <w:rPr>
          <w:sz w:val="20"/>
          <w:szCs w:val="20"/>
        </w:rPr>
        <w:t xml:space="preserve"> to determine course of action.</w:t>
      </w:r>
      <w:r>
        <w:rPr>
          <w:sz w:val="20"/>
          <w:szCs w:val="20"/>
        </w:rPr>
        <w:t xml:space="preserve"> </w:t>
      </w:r>
      <w:r w:rsidRPr="009156D4">
        <w:rPr>
          <w:b/>
          <w:color w:val="auto"/>
          <w:sz w:val="20"/>
          <w:szCs w:val="20"/>
        </w:rPr>
        <w:t>Appendix 1 provides further opportunity to expand and record the discussion.</w:t>
      </w:r>
      <w:r w:rsidRPr="007B2CF4">
        <w:rPr>
          <w:color w:val="FF0000"/>
          <w:sz w:val="20"/>
          <w:szCs w:val="20"/>
        </w:rPr>
        <w:t xml:space="preserve"> </w:t>
      </w:r>
    </w:p>
    <w:p w:rsidR="00681375" w:rsidRPr="009F0B1D" w:rsidRDefault="00681375" w:rsidP="00A75201">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3888"/>
        <w:gridCol w:w="3660"/>
        <w:gridCol w:w="3888"/>
      </w:tblGrid>
      <w:tr w:rsidR="00681375" w:rsidRPr="00026F11" w:rsidTr="00026F11">
        <w:trPr>
          <w:trHeight w:val="288"/>
        </w:trPr>
        <w:tc>
          <w:tcPr>
            <w:tcW w:w="2430" w:type="dxa"/>
            <w:vAlign w:val="center"/>
          </w:tcPr>
          <w:p w:rsidR="00681375" w:rsidRPr="00026F11" w:rsidRDefault="00681375" w:rsidP="00A2348C">
            <w:pPr>
              <w:pStyle w:val="Default"/>
              <w:rPr>
                <w:sz w:val="20"/>
                <w:szCs w:val="20"/>
              </w:rPr>
            </w:pPr>
            <w:r w:rsidRPr="00026F11">
              <w:rPr>
                <w:sz w:val="20"/>
                <w:szCs w:val="20"/>
              </w:rPr>
              <w:t>Name of Employee</w:t>
            </w:r>
          </w:p>
        </w:tc>
        <w:tc>
          <w:tcPr>
            <w:tcW w:w="3960" w:type="dxa"/>
            <w:vAlign w:val="center"/>
          </w:tcPr>
          <w:p w:rsidR="00681375" w:rsidRPr="00026F11" w:rsidRDefault="00681375" w:rsidP="00A2348C">
            <w:pPr>
              <w:pStyle w:val="Default"/>
              <w:rPr>
                <w:sz w:val="20"/>
                <w:szCs w:val="20"/>
              </w:rPr>
            </w:pPr>
          </w:p>
        </w:tc>
        <w:tc>
          <w:tcPr>
            <w:tcW w:w="3690" w:type="dxa"/>
            <w:vAlign w:val="center"/>
          </w:tcPr>
          <w:p w:rsidR="00681375" w:rsidRPr="00026F11" w:rsidRDefault="00681375" w:rsidP="00A2348C">
            <w:pPr>
              <w:pStyle w:val="Default"/>
              <w:rPr>
                <w:sz w:val="20"/>
                <w:szCs w:val="20"/>
              </w:rPr>
            </w:pPr>
            <w:r w:rsidRPr="00026F11">
              <w:rPr>
                <w:sz w:val="20"/>
                <w:szCs w:val="20"/>
              </w:rPr>
              <w:t>Directorate</w:t>
            </w:r>
          </w:p>
        </w:tc>
        <w:tc>
          <w:tcPr>
            <w:tcW w:w="3960" w:type="dxa"/>
            <w:vAlign w:val="center"/>
          </w:tcPr>
          <w:p w:rsidR="00681375" w:rsidRPr="00026F11" w:rsidRDefault="00681375" w:rsidP="00A2348C">
            <w:pPr>
              <w:pStyle w:val="Default"/>
              <w:rPr>
                <w:sz w:val="20"/>
                <w:szCs w:val="20"/>
              </w:rPr>
            </w:pPr>
          </w:p>
        </w:tc>
      </w:tr>
      <w:tr w:rsidR="00681375" w:rsidRPr="00026F11" w:rsidTr="00026F11">
        <w:trPr>
          <w:trHeight w:val="288"/>
        </w:trPr>
        <w:tc>
          <w:tcPr>
            <w:tcW w:w="2430" w:type="dxa"/>
            <w:vAlign w:val="center"/>
          </w:tcPr>
          <w:p w:rsidR="00681375" w:rsidRPr="00026F11" w:rsidRDefault="00681375" w:rsidP="00A2348C">
            <w:pPr>
              <w:pStyle w:val="Default"/>
              <w:rPr>
                <w:sz w:val="20"/>
                <w:szCs w:val="20"/>
              </w:rPr>
            </w:pPr>
            <w:r w:rsidRPr="00026F11">
              <w:rPr>
                <w:sz w:val="20"/>
                <w:szCs w:val="20"/>
              </w:rPr>
              <w:t>Job Title</w:t>
            </w:r>
          </w:p>
        </w:tc>
        <w:tc>
          <w:tcPr>
            <w:tcW w:w="3960" w:type="dxa"/>
            <w:vAlign w:val="center"/>
          </w:tcPr>
          <w:p w:rsidR="00681375" w:rsidRPr="00026F11" w:rsidRDefault="00681375" w:rsidP="00A2348C">
            <w:pPr>
              <w:pStyle w:val="Default"/>
              <w:rPr>
                <w:sz w:val="20"/>
                <w:szCs w:val="20"/>
              </w:rPr>
            </w:pPr>
          </w:p>
        </w:tc>
        <w:tc>
          <w:tcPr>
            <w:tcW w:w="3690" w:type="dxa"/>
            <w:vAlign w:val="center"/>
          </w:tcPr>
          <w:p w:rsidR="00681375" w:rsidRPr="00026F11" w:rsidRDefault="00681375" w:rsidP="00A2348C">
            <w:pPr>
              <w:pStyle w:val="Default"/>
              <w:rPr>
                <w:sz w:val="20"/>
                <w:szCs w:val="20"/>
              </w:rPr>
            </w:pPr>
            <w:r w:rsidRPr="00026F11">
              <w:rPr>
                <w:sz w:val="20"/>
                <w:szCs w:val="20"/>
              </w:rPr>
              <w:t>Manager</w:t>
            </w:r>
          </w:p>
        </w:tc>
        <w:tc>
          <w:tcPr>
            <w:tcW w:w="3960" w:type="dxa"/>
            <w:vAlign w:val="center"/>
          </w:tcPr>
          <w:p w:rsidR="00681375" w:rsidRPr="00026F11" w:rsidRDefault="00681375" w:rsidP="00A2348C">
            <w:pPr>
              <w:pStyle w:val="Default"/>
              <w:rPr>
                <w:sz w:val="20"/>
                <w:szCs w:val="20"/>
              </w:rPr>
            </w:pPr>
          </w:p>
        </w:tc>
      </w:tr>
      <w:tr w:rsidR="00681375" w:rsidRPr="00026F11" w:rsidTr="00026F11">
        <w:trPr>
          <w:trHeight w:val="288"/>
        </w:trPr>
        <w:tc>
          <w:tcPr>
            <w:tcW w:w="2430" w:type="dxa"/>
            <w:vAlign w:val="center"/>
          </w:tcPr>
          <w:p w:rsidR="00681375" w:rsidRPr="00026F11" w:rsidRDefault="00681375" w:rsidP="00A2348C">
            <w:pPr>
              <w:pStyle w:val="Default"/>
              <w:rPr>
                <w:sz w:val="20"/>
                <w:szCs w:val="20"/>
              </w:rPr>
            </w:pPr>
            <w:r w:rsidRPr="00026F11">
              <w:rPr>
                <w:sz w:val="20"/>
                <w:szCs w:val="20"/>
              </w:rPr>
              <w:t>Location</w:t>
            </w:r>
          </w:p>
        </w:tc>
        <w:tc>
          <w:tcPr>
            <w:tcW w:w="3960" w:type="dxa"/>
            <w:vAlign w:val="center"/>
          </w:tcPr>
          <w:p w:rsidR="00681375" w:rsidRPr="00026F11" w:rsidRDefault="00681375" w:rsidP="00A2348C">
            <w:pPr>
              <w:pStyle w:val="Default"/>
              <w:rPr>
                <w:sz w:val="20"/>
                <w:szCs w:val="20"/>
              </w:rPr>
            </w:pPr>
          </w:p>
        </w:tc>
        <w:tc>
          <w:tcPr>
            <w:tcW w:w="3690" w:type="dxa"/>
            <w:vAlign w:val="center"/>
          </w:tcPr>
          <w:p w:rsidR="00681375" w:rsidRPr="00026F11" w:rsidRDefault="00681375" w:rsidP="00A2348C">
            <w:pPr>
              <w:pStyle w:val="Default"/>
              <w:rPr>
                <w:sz w:val="20"/>
                <w:szCs w:val="20"/>
              </w:rPr>
            </w:pPr>
            <w:r w:rsidRPr="00026F11">
              <w:rPr>
                <w:sz w:val="20"/>
                <w:szCs w:val="20"/>
              </w:rPr>
              <w:t>Date Completed</w:t>
            </w:r>
            <w:r>
              <w:rPr>
                <w:sz w:val="20"/>
                <w:szCs w:val="20"/>
              </w:rPr>
              <w:t>/Reviewed</w:t>
            </w:r>
          </w:p>
        </w:tc>
        <w:tc>
          <w:tcPr>
            <w:tcW w:w="3960" w:type="dxa"/>
            <w:vAlign w:val="center"/>
          </w:tcPr>
          <w:p w:rsidR="00681375" w:rsidRPr="00026F11" w:rsidRDefault="00681375" w:rsidP="00A2348C">
            <w:pPr>
              <w:pStyle w:val="Default"/>
              <w:rPr>
                <w:sz w:val="20"/>
                <w:szCs w:val="20"/>
              </w:rPr>
            </w:pPr>
          </w:p>
        </w:tc>
      </w:tr>
    </w:tbl>
    <w:p w:rsidR="00681375" w:rsidRPr="009F0B1D" w:rsidRDefault="00681375" w:rsidP="00A75201">
      <w:pPr>
        <w:pStyle w:val="Default"/>
        <w:rPr>
          <w:sz w:val="20"/>
          <w:szCs w:val="20"/>
        </w:rPr>
      </w:pPr>
    </w:p>
    <w:p w:rsidR="00681375" w:rsidRPr="009F0B1D" w:rsidRDefault="00681375" w:rsidP="00A75201">
      <w:pPr>
        <w:pStyle w:val="Default"/>
        <w:numPr>
          <w:ilvl w:val="0"/>
          <w:numId w:val="4"/>
        </w:numPr>
        <w:ind w:hanging="720"/>
        <w:rPr>
          <w:b/>
          <w:sz w:val="20"/>
          <w:szCs w:val="20"/>
        </w:rPr>
      </w:pPr>
      <w:r w:rsidRPr="009F0B1D">
        <w:rPr>
          <w:b/>
          <w:sz w:val="20"/>
          <w:szCs w:val="20"/>
        </w:rPr>
        <w:t>Severe Diseases</w:t>
      </w:r>
    </w:p>
    <w:p w:rsidR="00681375" w:rsidRPr="009F0B1D" w:rsidRDefault="00681375" w:rsidP="00A75201">
      <w:pPr>
        <w:pStyle w:val="Default"/>
        <w:rPr>
          <w:sz w:val="20"/>
          <w:szCs w:val="20"/>
        </w:rPr>
      </w:pPr>
    </w:p>
    <w:p w:rsidR="00681375" w:rsidRPr="009F0B1D" w:rsidRDefault="00681375" w:rsidP="00A75201">
      <w:pPr>
        <w:shd w:val="clear" w:color="auto" w:fill="FFFFFF"/>
        <w:spacing w:after="240"/>
        <w:ind w:left="0" w:firstLine="0"/>
        <w:rPr>
          <w:rFonts w:cs="Arial"/>
          <w:sz w:val="20"/>
          <w:szCs w:val="20"/>
          <w:lang w:eastAsia="en-GB"/>
        </w:rPr>
      </w:pPr>
      <w:r w:rsidRPr="009F0B1D">
        <w:rPr>
          <w:rFonts w:cs="Arial"/>
          <w:sz w:val="20"/>
          <w:szCs w:val="20"/>
          <w:lang w:eastAsia="en-GB"/>
        </w:rPr>
        <w:t>If the staff member has any of these conditions you should arrange for them to work from home if possible, transferred to duties that could be undertaken at home, or asked to remain away from work (practising social distancing and/or self–isolation) until the outbreak has abated.</w:t>
      </w:r>
      <w:r>
        <w:rPr>
          <w:rFonts w:cs="Arial"/>
          <w:sz w:val="20"/>
          <w:szCs w:val="20"/>
          <w:lang w:eastAsia="en-GB"/>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0"/>
        <w:gridCol w:w="990"/>
        <w:gridCol w:w="3960"/>
      </w:tblGrid>
      <w:tr w:rsidR="00681375" w:rsidRPr="00026F11" w:rsidTr="00026F11">
        <w:trPr>
          <w:trHeight w:val="288"/>
        </w:trPr>
        <w:tc>
          <w:tcPr>
            <w:tcW w:w="9090" w:type="dxa"/>
            <w:vAlign w:val="center"/>
          </w:tcPr>
          <w:p w:rsidR="00681375" w:rsidRPr="00026F11" w:rsidRDefault="00681375" w:rsidP="00026F11">
            <w:pPr>
              <w:ind w:left="0" w:firstLine="0"/>
              <w:rPr>
                <w:rFonts w:cs="Arial"/>
                <w:b/>
                <w:bCs/>
                <w:sz w:val="20"/>
                <w:szCs w:val="20"/>
              </w:rPr>
            </w:pPr>
            <w:r w:rsidRPr="00026F11">
              <w:rPr>
                <w:rFonts w:cs="Arial"/>
                <w:b/>
                <w:bCs/>
                <w:sz w:val="20"/>
                <w:szCs w:val="20"/>
              </w:rPr>
              <w:t>Condition</w:t>
            </w:r>
          </w:p>
        </w:tc>
        <w:tc>
          <w:tcPr>
            <w:tcW w:w="990" w:type="dxa"/>
            <w:vAlign w:val="center"/>
          </w:tcPr>
          <w:p w:rsidR="00681375" w:rsidRPr="00026F11" w:rsidRDefault="00681375" w:rsidP="00026F11">
            <w:pPr>
              <w:ind w:left="0" w:firstLine="0"/>
              <w:rPr>
                <w:rFonts w:cs="Arial"/>
                <w:b/>
                <w:bCs/>
                <w:sz w:val="20"/>
                <w:szCs w:val="20"/>
              </w:rPr>
            </w:pPr>
            <w:r w:rsidRPr="00026F11">
              <w:rPr>
                <w:rFonts w:cs="Arial"/>
                <w:b/>
                <w:bCs/>
                <w:sz w:val="20"/>
                <w:szCs w:val="20"/>
              </w:rPr>
              <w:t>Yes/No</w:t>
            </w:r>
          </w:p>
        </w:tc>
        <w:tc>
          <w:tcPr>
            <w:tcW w:w="3960" w:type="dxa"/>
            <w:vAlign w:val="center"/>
          </w:tcPr>
          <w:p w:rsidR="00681375" w:rsidRPr="00026F11" w:rsidRDefault="00681375" w:rsidP="00026F11">
            <w:pPr>
              <w:ind w:left="0" w:firstLine="0"/>
              <w:rPr>
                <w:rFonts w:cs="Arial"/>
                <w:b/>
                <w:bCs/>
                <w:sz w:val="20"/>
                <w:szCs w:val="20"/>
              </w:rPr>
            </w:pPr>
            <w:r w:rsidRPr="00026F11">
              <w:rPr>
                <w:rFonts w:cs="Arial"/>
                <w:b/>
                <w:bCs/>
                <w:sz w:val="20"/>
                <w:szCs w:val="20"/>
              </w:rPr>
              <w:t>Comments</w:t>
            </w:r>
          </w:p>
        </w:tc>
      </w:tr>
      <w:tr w:rsidR="00681375" w:rsidRPr="00026F11" w:rsidTr="00026F11">
        <w:tc>
          <w:tcPr>
            <w:tcW w:w="9090" w:type="dxa"/>
          </w:tcPr>
          <w:p w:rsidR="00681375" w:rsidRPr="00026F11" w:rsidRDefault="00681375" w:rsidP="00026F11">
            <w:pPr>
              <w:ind w:left="0" w:firstLine="0"/>
              <w:rPr>
                <w:rFonts w:cs="Arial"/>
                <w:bCs/>
                <w:sz w:val="20"/>
                <w:szCs w:val="20"/>
              </w:rPr>
            </w:pPr>
            <w:r>
              <w:rPr>
                <w:rFonts w:cs="Arial"/>
                <w:bCs/>
                <w:sz w:val="20"/>
                <w:szCs w:val="20"/>
              </w:rPr>
              <w:t>Shielding as per Scottish Government advice.</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026F11">
        <w:tc>
          <w:tcPr>
            <w:tcW w:w="9090" w:type="dxa"/>
          </w:tcPr>
          <w:p w:rsidR="00681375" w:rsidRPr="00026F11" w:rsidRDefault="00681375" w:rsidP="00026F11">
            <w:pPr>
              <w:ind w:left="0" w:firstLine="0"/>
              <w:rPr>
                <w:rFonts w:cs="Arial"/>
                <w:sz w:val="20"/>
                <w:szCs w:val="20"/>
              </w:rPr>
            </w:pPr>
            <w:r w:rsidRPr="00026F11">
              <w:rPr>
                <w:rFonts w:cs="Arial"/>
                <w:bCs/>
                <w:sz w:val="20"/>
                <w:szCs w:val="20"/>
              </w:rPr>
              <w:t>Solid organ transplant recipients.</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026F11">
        <w:tc>
          <w:tcPr>
            <w:tcW w:w="9090" w:type="dxa"/>
          </w:tcPr>
          <w:p w:rsidR="00681375" w:rsidRPr="00026F11" w:rsidRDefault="00681375" w:rsidP="00026F11">
            <w:pPr>
              <w:ind w:left="0" w:firstLine="0"/>
              <w:rPr>
                <w:rFonts w:cs="Arial"/>
                <w:bCs/>
                <w:sz w:val="20"/>
                <w:szCs w:val="20"/>
              </w:rPr>
            </w:pPr>
            <w:r w:rsidRPr="00026F11">
              <w:rPr>
                <w:rFonts w:cs="Arial"/>
                <w:bCs/>
                <w:sz w:val="20"/>
                <w:szCs w:val="20"/>
              </w:rPr>
              <w:t>People with specific cancers:</w:t>
            </w:r>
          </w:p>
          <w:p w:rsidR="00681375" w:rsidRPr="00026F11" w:rsidRDefault="00681375" w:rsidP="00026F11">
            <w:pPr>
              <w:numPr>
                <w:ilvl w:val="0"/>
                <w:numId w:val="3"/>
              </w:numPr>
              <w:tabs>
                <w:tab w:val="clear" w:pos="720"/>
              </w:tabs>
              <w:ind w:left="252" w:hanging="252"/>
              <w:rPr>
                <w:rFonts w:cs="Calibri"/>
                <w:sz w:val="20"/>
                <w:szCs w:val="20"/>
              </w:rPr>
            </w:pPr>
            <w:r w:rsidRPr="00026F11">
              <w:rPr>
                <w:rFonts w:cs="Calibri"/>
                <w:sz w:val="20"/>
                <w:szCs w:val="20"/>
              </w:rPr>
              <w:t xml:space="preserve">People with cancer who are undergoing active chemotherapy or radical radiotherapy for lung cancer </w:t>
            </w:r>
          </w:p>
          <w:p w:rsidR="00681375" w:rsidRPr="00026F11" w:rsidRDefault="00681375" w:rsidP="00026F11">
            <w:pPr>
              <w:numPr>
                <w:ilvl w:val="0"/>
                <w:numId w:val="3"/>
              </w:numPr>
              <w:tabs>
                <w:tab w:val="clear" w:pos="720"/>
              </w:tabs>
              <w:ind w:left="252" w:hanging="252"/>
              <w:rPr>
                <w:rFonts w:cs="Calibri"/>
                <w:sz w:val="20"/>
                <w:szCs w:val="20"/>
              </w:rPr>
            </w:pPr>
            <w:r w:rsidRPr="00026F11">
              <w:rPr>
                <w:rFonts w:cs="Calibri"/>
                <w:sz w:val="20"/>
                <w:szCs w:val="20"/>
              </w:rPr>
              <w:t xml:space="preserve">People with cancers of the blood or bone marrow such as leukaemia, lymphoma or myeloma who are at any stage of treatment </w:t>
            </w:r>
          </w:p>
          <w:p w:rsidR="00681375" w:rsidRPr="00026F11" w:rsidRDefault="00681375" w:rsidP="00026F11">
            <w:pPr>
              <w:numPr>
                <w:ilvl w:val="0"/>
                <w:numId w:val="3"/>
              </w:numPr>
              <w:tabs>
                <w:tab w:val="clear" w:pos="720"/>
              </w:tabs>
              <w:ind w:left="252" w:hanging="252"/>
              <w:rPr>
                <w:rFonts w:cs="Calibri"/>
                <w:sz w:val="20"/>
                <w:szCs w:val="20"/>
              </w:rPr>
            </w:pPr>
            <w:r w:rsidRPr="00026F11">
              <w:rPr>
                <w:rFonts w:cs="Calibri"/>
                <w:sz w:val="20"/>
                <w:szCs w:val="20"/>
              </w:rPr>
              <w:t xml:space="preserve">People having immunotherapy or other continuing antibody treatments for cancer </w:t>
            </w:r>
          </w:p>
          <w:p w:rsidR="00681375" w:rsidRPr="00026F11" w:rsidRDefault="00681375" w:rsidP="00026F11">
            <w:pPr>
              <w:numPr>
                <w:ilvl w:val="0"/>
                <w:numId w:val="3"/>
              </w:numPr>
              <w:tabs>
                <w:tab w:val="clear" w:pos="720"/>
              </w:tabs>
              <w:ind w:left="252" w:hanging="252"/>
              <w:rPr>
                <w:rFonts w:cs="Calibri"/>
                <w:sz w:val="20"/>
                <w:szCs w:val="20"/>
              </w:rPr>
            </w:pPr>
            <w:r w:rsidRPr="00026F11">
              <w:rPr>
                <w:rFonts w:cs="Calibri"/>
                <w:sz w:val="20"/>
                <w:szCs w:val="20"/>
              </w:rPr>
              <w:t xml:space="preserve">People having other targeted cancer treatments which can affect the immune system, such as protein kinase inhibitors or PARP inhibitors. </w:t>
            </w:r>
          </w:p>
          <w:p w:rsidR="00681375" w:rsidRPr="00026F11" w:rsidRDefault="00681375" w:rsidP="00026F11">
            <w:pPr>
              <w:numPr>
                <w:ilvl w:val="0"/>
                <w:numId w:val="3"/>
              </w:numPr>
              <w:tabs>
                <w:tab w:val="clear" w:pos="720"/>
              </w:tabs>
              <w:ind w:left="252" w:hanging="252"/>
              <w:rPr>
                <w:rFonts w:cs="Calibri"/>
                <w:sz w:val="20"/>
                <w:szCs w:val="20"/>
              </w:rPr>
            </w:pPr>
            <w:r w:rsidRPr="00026F11">
              <w:rPr>
                <w:rFonts w:cs="Calibri"/>
                <w:sz w:val="20"/>
                <w:szCs w:val="20"/>
              </w:rPr>
              <w:t xml:space="preserve">People who have had bone marrow or stem cell transplants in the last 6 months, or who are still taking immunosuppression drugs. </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B12611" w:rsidTr="00026F11">
        <w:tc>
          <w:tcPr>
            <w:tcW w:w="9090" w:type="dxa"/>
          </w:tcPr>
          <w:p w:rsidR="00681375" w:rsidRPr="00B12611" w:rsidRDefault="00681375" w:rsidP="00026F11">
            <w:pPr>
              <w:ind w:left="0" w:firstLine="0"/>
              <w:rPr>
                <w:rFonts w:cs="Arial"/>
                <w:bCs/>
                <w:sz w:val="20"/>
                <w:szCs w:val="20"/>
              </w:rPr>
            </w:pPr>
            <w:r w:rsidRPr="00B12611">
              <w:rPr>
                <w:rFonts w:cs="Arial"/>
                <w:bCs/>
                <w:sz w:val="20"/>
                <w:szCs w:val="20"/>
              </w:rPr>
              <w:t>People with severe respiratory conditions including all cystic fibrosis, severe asthma (requiring regular hospital admissions) and severe COPD.</w:t>
            </w:r>
          </w:p>
          <w:p w:rsidR="00681375" w:rsidRPr="00B12611" w:rsidRDefault="00681375" w:rsidP="00B7055E">
            <w:pPr>
              <w:numPr>
                <w:ilvl w:val="0"/>
                <w:numId w:val="9"/>
              </w:numPr>
              <w:autoSpaceDE w:val="0"/>
              <w:autoSpaceDN w:val="0"/>
              <w:adjustRightInd w:val="0"/>
              <w:ind w:left="252" w:hanging="252"/>
              <w:rPr>
                <w:rFonts w:cs="Arial"/>
                <w:color w:val="000000"/>
                <w:sz w:val="20"/>
                <w:szCs w:val="20"/>
                <w:lang w:eastAsia="en-GB"/>
              </w:rPr>
            </w:pPr>
            <w:r w:rsidRPr="00B12611">
              <w:rPr>
                <w:rFonts w:cs="Arial"/>
                <w:color w:val="000000"/>
                <w:sz w:val="20"/>
                <w:szCs w:val="20"/>
                <w:lang w:eastAsia="en-GB"/>
              </w:rPr>
              <w:t>Severe asthma: Anyone receiving high dose long term steroid (see appendix 1 in risk assessment), methotrexate, azathioprine, MMF, omalizumab, mepolizumab or benralizumab, or three times a week azithromycin; or has had 3 or more short courses of steroids for exacerbations in the past year.</w:t>
            </w:r>
          </w:p>
        </w:tc>
        <w:tc>
          <w:tcPr>
            <w:tcW w:w="990" w:type="dxa"/>
          </w:tcPr>
          <w:p w:rsidR="00681375" w:rsidRPr="00B12611" w:rsidRDefault="00681375" w:rsidP="00026F11">
            <w:pPr>
              <w:ind w:left="0" w:firstLine="0"/>
              <w:rPr>
                <w:rFonts w:cs="Arial"/>
                <w:bCs/>
                <w:sz w:val="20"/>
                <w:szCs w:val="20"/>
              </w:rPr>
            </w:pPr>
          </w:p>
        </w:tc>
        <w:tc>
          <w:tcPr>
            <w:tcW w:w="3960" w:type="dxa"/>
          </w:tcPr>
          <w:p w:rsidR="00681375" w:rsidRPr="00B12611" w:rsidRDefault="00681375" w:rsidP="00026F11">
            <w:pPr>
              <w:ind w:left="0" w:firstLine="0"/>
              <w:rPr>
                <w:rFonts w:cs="Arial"/>
                <w:bCs/>
                <w:sz w:val="20"/>
                <w:szCs w:val="20"/>
              </w:rPr>
            </w:pPr>
          </w:p>
        </w:tc>
      </w:tr>
      <w:tr w:rsidR="00681375" w:rsidRPr="00026F11" w:rsidTr="00026F11">
        <w:tc>
          <w:tcPr>
            <w:tcW w:w="9090" w:type="dxa"/>
          </w:tcPr>
          <w:p w:rsidR="00681375" w:rsidRPr="00026F11" w:rsidRDefault="00681375" w:rsidP="00026F11">
            <w:pPr>
              <w:ind w:left="0" w:firstLine="0"/>
              <w:rPr>
                <w:rFonts w:cs="Arial"/>
                <w:sz w:val="20"/>
                <w:szCs w:val="20"/>
              </w:rPr>
            </w:pPr>
            <w:r w:rsidRPr="00026F11">
              <w:rPr>
                <w:rFonts w:cs="Arial"/>
                <w:bCs/>
                <w:sz w:val="20"/>
                <w:szCs w:val="20"/>
              </w:rPr>
              <w:t>People with rare diseases and inborn errors of metabolism that significantly increase the risk of infections (such as SCID, homozygous sickle cell).</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026F11">
        <w:tc>
          <w:tcPr>
            <w:tcW w:w="9090" w:type="dxa"/>
          </w:tcPr>
          <w:p w:rsidR="00681375" w:rsidRPr="00026F11" w:rsidRDefault="00681375" w:rsidP="00026F11">
            <w:pPr>
              <w:ind w:left="0" w:firstLine="0"/>
              <w:rPr>
                <w:rFonts w:cs="Arial"/>
                <w:sz w:val="20"/>
                <w:szCs w:val="20"/>
              </w:rPr>
            </w:pPr>
            <w:r w:rsidRPr="00026F11">
              <w:rPr>
                <w:rFonts w:cs="Arial"/>
                <w:bCs/>
                <w:sz w:val="20"/>
                <w:szCs w:val="20"/>
              </w:rPr>
              <w:t>People on immunosuppression therapies sufficient to significantly increase risk of infection (see guidance for more details).</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026F11">
        <w:tc>
          <w:tcPr>
            <w:tcW w:w="9090" w:type="dxa"/>
          </w:tcPr>
          <w:p w:rsidR="00681375" w:rsidRPr="00B7055E" w:rsidRDefault="00681375" w:rsidP="00026F11">
            <w:pPr>
              <w:ind w:left="0" w:firstLine="0"/>
              <w:rPr>
                <w:rFonts w:cs="Arial"/>
                <w:bCs/>
                <w:sz w:val="20"/>
                <w:szCs w:val="20"/>
              </w:rPr>
            </w:pPr>
            <w:r w:rsidRPr="00026F11">
              <w:rPr>
                <w:rFonts w:cs="Arial"/>
                <w:bCs/>
                <w:sz w:val="20"/>
                <w:szCs w:val="20"/>
              </w:rPr>
              <w:t>People who are pregnant with significant congenital or acquired heart disease.</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026F11">
        <w:tc>
          <w:tcPr>
            <w:tcW w:w="9090" w:type="dxa"/>
          </w:tcPr>
          <w:p w:rsidR="00681375" w:rsidRPr="00F274B4" w:rsidRDefault="00681375" w:rsidP="00F274B4">
            <w:pPr>
              <w:autoSpaceDE w:val="0"/>
              <w:autoSpaceDN w:val="0"/>
              <w:adjustRightInd w:val="0"/>
              <w:rPr>
                <w:rFonts w:cs="Arial"/>
                <w:color w:val="000000"/>
                <w:sz w:val="20"/>
                <w:szCs w:val="20"/>
                <w:lang w:eastAsia="en-GB"/>
              </w:rPr>
            </w:pPr>
            <w:r>
              <w:rPr>
                <w:rFonts w:cs="Arial"/>
                <w:color w:val="000000"/>
                <w:sz w:val="20"/>
                <w:szCs w:val="20"/>
                <w:lang w:eastAsia="en-GB"/>
              </w:rPr>
              <w:t>People with an absent spleen or have had their spleen removed.</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514577">
        <w:trPr>
          <w:trHeight w:val="196"/>
        </w:trPr>
        <w:tc>
          <w:tcPr>
            <w:tcW w:w="9090" w:type="dxa"/>
          </w:tcPr>
          <w:p w:rsidR="00681375" w:rsidRDefault="00681375" w:rsidP="00F274B4">
            <w:pPr>
              <w:autoSpaceDE w:val="0"/>
              <w:autoSpaceDN w:val="0"/>
              <w:adjustRightInd w:val="0"/>
              <w:rPr>
                <w:rFonts w:cs="Arial"/>
                <w:color w:val="000000"/>
                <w:sz w:val="20"/>
                <w:szCs w:val="20"/>
                <w:lang w:eastAsia="en-GB"/>
              </w:rPr>
            </w:pPr>
            <w:r>
              <w:rPr>
                <w:rFonts w:cs="Arial"/>
                <w:color w:val="000000"/>
                <w:sz w:val="20"/>
                <w:szCs w:val="20"/>
                <w:lang w:eastAsia="en-GB"/>
              </w:rPr>
              <w:t xml:space="preserve">People who are receiving renal dialysis treatment </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r w:rsidR="00681375" w:rsidRPr="00026F11" w:rsidTr="00026F11">
        <w:tc>
          <w:tcPr>
            <w:tcW w:w="9090" w:type="dxa"/>
          </w:tcPr>
          <w:p w:rsidR="00681375" w:rsidRDefault="00681375" w:rsidP="00F274B4">
            <w:pPr>
              <w:autoSpaceDE w:val="0"/>
              <w:autoSpaceDN w:val="0"/>
              <w:adjustRightInd w:val="0"/>
              <w:rPr>
                <w:rFonts w:cs="Arial"/>
                <w:color w:val="000000"/>
                <w:sz w:val="20"/>
                <w:szCs w:val="20"/>
                <w:lang w:eastAsia="en-GB"/>
              </w:rPr>
            </w:pPr>
            <w:r>
              <w:rPr>
                <w:rFonts w:cs="Arial"/>
                <w:color w:val="000000"/>
                <w:sz w:val="20"/>
                <w:szCs w:val="20"/>
                <w:lang w:eastAsia="en-GB"/>
              </w:rPr>
              <w:t>Aged over 70 years.</w:t>
            </w:r>
          </w:p>
        </w:tc>
        <w:tc>
          <w:tcPr>
            <w:tcW w:w="990" w:type="dxa"/>
          </w:tcPr>
          <w:p w:rsidR="00681375" w:rsidRPr="00026F11" w:rsidRDefault="00681375" w:rsidP="00026F11">
            <w:pPr>
              <w:ind w:left="0" w:firstLine="0"/>
              <w:rPr>
                <w:rFonts w:cs="Arial"/>
                <w:bCs/>
                <w:sz w:val="20"/>
                <w:szCs w:val="20"/>
              </w:rPr>
            </w:pPr>
          </w:p>
        </w:tc>
        <w:tc>
          <w:tcPr>
            <w:tcW w:w="3960" w:type="dxa"/>
          </w:tcPr>
          <w:p w:rsidR="00681375" w:rsidRPr="00026F11" w:rsidRDefault="00681375" w:rsidP="00026F11">
            <w:pPr>
              <w:ind w:left="0" w:firstLine="0"/>
              <w:rPr>
                <w:rFonts w:cs="Arial"/>
                <w:bCs/>
                <w:sz w:val="20"/>
                <w:szCs w:val="20"/>
              </w:rPr>
            </w:pPr>
          </w:p>
        </w:tc>
      </w:tr>
    </w:tbl>
    <w:p w:rsidR="00681375" w:rsidRPr="009F0B1D" w:rsidRDefault="00681375" w:rsidP="004E2E44">
      <w:pPr>
        <w:numPr>
          <w:ilvl w:val="0"/>
          <w:numId w:val="4"/>
        </w:numPr>
        <w:ind w:hanging="720"/>
        <w:rPr>
          <w:rFonts w:cs="Arial"/>
          <w:b/>
          <w:sz w:val="20"/>
          <w:szCs w:val="20"/>
        </w:rPr>
      </w:pPr>
      <w:r w:rsidRPr="009F0B1D">
        <w:rPr>
          <w:rFonts w:cs="Arial"/>
          <w:b/>
          <w:sz w:val="20"/>
          <w:szCs w:val="20"/>
          <w:u w:val="single"/>
        </w:rPr>
        <w:br w:type="page"/>
      </w:r>
      <w:r w:rsidRPr="009F0B1D">
        <w:rPr>
          <w:rFonts w:cs="Arial"/>
          <w:b/>
          <w:sz w:val="20"/>
          <w:szCs w:val="20"/>
        </w:rPr>
        <w:lastRenderedPageBreak/>
        <w:t xml:space="preserve">Other </w:t>
      </w:r>
      <w:r>
        <w:rPr>
          <w:rFonts w:cs="Arial"/>
          <w:b/>
          <w:sz w:val="20"/>
          <w:szCs w:val="20"/>
        </w:rPr>
        <w:t>Underlying H</w:t>
      </w:r>
      <w:r w:rsidRPr="009F0B1D">
        <w:rPr>
          <w:rFonts w:cs="Arial"/>
          <w:b/>
          <w:sz w:val="20"/>
          <w:szCs w:val="20"/>
        </w:rPr>
        <w:t xml:space="preserve">ealth </w:t>
      </w:r>
      <w:r>
        <w:rPr>
          <w:rFonts w:cs="Arial"/>
          <w:b/>
          <w:sz w:val="20"/>
          <w:szCs w:val="20"/>
        </w:rPr>
        <w:t>C</w:t>
      </w:r>
      <w:r w:rsidRPr="009F0B1D">
        <w:rPr>
          <w:rFonts w:cs="Arial"/>
          <w:b/>
          <w:sz w:val="20"/>
          <w:szCs w:val="20"/>
        </w:rPr>
        <w:t>onditions</w:t>
      </w:r>
      <w:r>
        <w:rPr>
          <w:rFonts w:cs="Arial"/>
          <w:b/>
          <w:sz w:val="20"/>
          <w:szCs w:val="20"/>
        </w:rPr>
        <w:t xml:space="preserve"> </w:t>
      </w:r>
    </w:p>
    <w:p w:rsidR="00681375" w:rsidRPr="009F0B1D" w:rsidRDefault="00681375" w:rsidP="00A75201">
      <w:pPr>
        <w:ind w:left="0" w:firstLine="0"/>
        <w:rPr>
          <w:rFonts w:cs="Arial"/>
          <w:sz w:val="20"/>
          <w:szCs w:val="20"/>
          <w:u w:val="single"/>
        </w:rPr>
      </w:pPr>
    </w:p>
    <w:p w:rsidR="00681375" w:rsidRPr="00E20143" w:rsidRDefault="00681375" w:rsidP="00A75201">
      <w:pPr>
        <w:ind w:left="0" w:firstLine="0"/>
        <w:rPr>
          <w:rFonts w:cs="Arial"/>
          <w:sz w:val="20"/>
          <w:szCs w:val="20"/>
        </w:rPr>
      </w:pPr>
      <w:r w:rsidRPr="00E20143">
        <w:rPr>
          <w:rFonts w:cs="Arial"/>
          <w:sz w:val="20"/>
          <w:szCs w:val="20"/>
        </w:rPr>
        <w:t xml:space="preserve">Healthcare workers with the following underlying conditions </w:t>
      </w:r>
      <w:r w:rsidRPr="00E20143">
        <w:rPr>
          <w:rFonts w:cs="Arial"/>
          <w:b/>
          <w:sz w:val="20"/>
          <w:szCs w:val="20"/>
        </w:rPr>
        <w:t>can</w:t>
      </w:r>
      <w:r w:rsidRPr="00E20143">
        <w:rPr>
          <w:rFonts w:cs="Arial"/>
          <w:sz w:val="20"/>
          <w:szCs w:val="20"/>
        </w:rPr>
        <w:t xml:space="preserve"> continue to work as long as they practice strict hygiene measures.  In addition:</w:t>
      </w:r>
    </w:p>
    <w:p w:rsidR="00681375" w:rsidRPr="00E20143" w:rsidRDefault="00681375" w:rsidP="00A75201">
      <w:pPr>
        <w:ind w:left="0" w:firstLine="0"/>
        <w:rPr>
          <w:rFonts w:cs="Arial"/>
          <w:sz w:val="20"/>
          <w:szCs w:val="20"/>
        </w:rPr>
      </w:pPr>
    </w:p>
    <w:p w:rsidR="00681375" w:rsidRPr="00E20143" w:rsidRDefault="00681375" w:rsidP="004E2E44">
      <w:pPr>
        <w:numPr>
          <w:ilvl w:val="0"/>
          <w:numId w:val="5"/>
        </w:numPr>
        <w:ind w:left="450" w:hanging="450"/>
        <w:rPr>
          <w:rFonts w:cs="Arial"/>
          <w:sz w:val="20"/>
          <w:szCs w:val="20"/>
        </w:rPr>
      </w:pPr>
      <w:r w:rsidRPr="00E20143">
        <w:rPr>
          <w:rFonts w:cs="Arial"/>
          <w:sz w:val="20"/>
          <w:szCs w:val="20"/>
        </w:rPr>
        <w:t xml:space="preserve">You should not work face to face with confirmed or suspected cases of COVID-19, and will be relocated to areas where COVID-19 patients are not cared for or assessed and in which they can practice social distancing *. </w:t>
      </w:r>
    </w:p>
    <w:p w:rsidR="00681375" w:rsidRPr="00E20143" w:rsidRDefault="00681375" w:rsidP="004E2E44">
      <w:pPr>
        <w:ind w:left="450" w:hanging="450"/>
        <w:rPr>
          <w:rFonts w:cs="Arial"/>
          <w:sz w:val="20"/>
          <w:szCs w:val="20"/>
        </w:rPr>
      </w:pPr>
    </w:p>
    <w:p w:rsidR="00681375" w:rsidRPr="00E20143" w:rsidRDefault="00681375" w:rsidP="004E2E44">
      <w:pPr>
        <w:numPr>
          <w:ilvl w:val="0"/>
          <w:numId w:val="5"/>
        </w:numPr>
        <w:ind w:left="450" w:hanging="450"/>
        <w:rPr>
          <w:rFonts w:cs="Arial"/>
          <w:sz w:val="20"/>
          <w:szCs w:val="20"/>
        </w:rPr>
      </w:pPr>
      <w:r w:rsidRPr="00E20143">
        <w:rPr>
          <w:rFonts w:cs="Arial"/>
          <w:sz w:val="20"/>
          <w:szCs w:val="20"/>
        </w:rPr>
        <w:t xml:space="preserve">If you work in a crowded environment, i.e. continual close working (within 1 m) of other staff members for prolonged periods of time (&gt; 1 hr) you will be relocated into less crowded environments, as much as possible*. </w:t>
      </w:r>
    </w:p>
    <w:p w:rsidR="00681375" w:rsidRPr="00E20143" w:rsidRDefault="00681375" w:rsidP="00A75201">
      <w:pPr>
        <w:rPr>
          <w:rFonts w:cs="Arial"/>
          <w:i/>
          <w:sz w:val="20"/>
          <w:szCs w:val="20"/>
        </w:rPr>
      </w:pPr>
    </w:p>
    <w:p w:rsidR="00681375" w:rsidRPr="00E20143" w:rsidRDefault="00681375" w:rsidP="00F250A3">
      <w:pPr>
        <w:ind w:left="450" w:hanging="450"/>
        <w:rPr>
          <w:rFonts w:cs="Calibri"/>
          <w:i/>
          <w:sz w:val="20"/>
          <w:szCs w:val="20"/>
        </w:rPr>
      </w:pPr>
      <w:r w:rsidRPr="00E20143">
        <w:rPr>
          <w:rFonts w:cs="Calibri"/>
          <w:i/>
          <w:sz w:val="20"/>
          <w:szCs w:val="20"/>
        </w:rPr>
        <w:t xml:space="preserve">* </w:t>
      </w:r>
      <w:r w:rsidRPr="00E20143">
        <w:rPr>
          <w:rFonts w:cs="Calibri"/>
          <w:i/>
          <w:sz w:val="20"/>
          <w:szCs w:val="20"/>
        </w:rPr>
        <w:tab/>
        <w:t>There are exceptions where healthcare workers with underlying health conditions can work with patients with confirmed or suspected COVID-19 and these are detailed below.</w:t>
      </w:r>
    </w:p>
    <w:p w:rsidR="00681375" w:rsidRPr="009F0B1D" w:rsidRDefault="00681375" w:rsidP="00A75201">
      <w:pPr>
        <w:rPr>
          <w:rFonts w:cs="Arial"/>
          <w:i/>
          <w:sz w:val="20"/>
          <w:szCs w:val="20"/>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6210"/>
        <w:gridCol w:w="900"/>
        <w:gridCol w:w="3510"/>
      </w:tblGrid>
      <w:tr w:rsidR="00681375" w:rsidRPr="009F0B1D" w:rsidTr="003C700E">
        <w:trPr>
          <w:trHeight w:val="288"/>
          <w:tblHeader/>
        </w:trPr>
        <w:tc>
          <w:tcPr>
            <w:tcW w:w="3330" w:type="dxa"/>
            <w:vAlign w:val="center"/>
          </w:tcPr>
          <w:p w:rsidR="00681375" w:rsidRPr="009F0B1D" w:rsidRDefault="00681375" w:rsidP="00A2348C">
            <w:pPr>
              <w:shd w:val="clear" w:color="auto" w:fill="FFFFFF"/>
              <w:ind w:left="0" w:firstLine="0"/>
              <w:rPr>
                <w:rFonts w:cs="Arial"/>
                <w:b/>
                <w:sz w:val="20"/>
                <w:szCs w:val="20"/>
                <w:lang w:eastAsia="en-GB"/>
              </w:rPr>
            </w:pPr>
            <w:r w:rsidRPr="009F0B1D">
              <w:rPr>
                <w:rFonts w:cs="Arial"/>
                <w:b/>
                <w:sz w:val="20"/>
                <w:szCs w:val="20"/>
                <w:lang w:eastAsia="en-GB"/>
              </w:rPr>
              <w:t>Underlying condition</w:t>
            </w:r>
            <w:r>
              <w:rPr>
                <w:rFonts w:cs="Arial"/>
                <w:b/>
                <w:sz w:val="20"/>
                <w:szCs w:val="20"/>
                <w:lang w:eastAsia="en-GB"/>
              </w:rPr>
              <w:t xml:space="preserve">/ Other factors </w:t>
            </w:r>
          </w:p>
        </w:tc>
        <w:tc>
          <w:tcPr>
            <w:tcW w:w="6210" w:type="dxa"/>
            <w:vAlign w:val="center"/>
          </w:tcPr>
          <w:p w:rsidR="00681375" w:rsidRPr="009F0B1D" w:rsidRDefault="00681375" w:rsidP="00A2348C">
            <w:pPr>
              <w:shd w:val="clear" w:color="auto" w:fill="FFFFFF"/>
              <w:ind w:left="0" w:firstLine="0"/>
              <w:rPr>
                <w:rFonts w:cs="Arial"/>
                <w:b/>
                <w:bCs/>
                <w:sz w:val="20"/>
                <w:szCs w:val="20"/>
                <w:lang w:eastAsia="en-GB"/>
              </w:rPr>
            </w:pPr>
            <w:r w:rsidRPr="009F0B1D">
              <w:rPr>
                <w:rFonts w:cs="Arial"/>
                <w:b/>
                <w:bCs/>
                <w:sz w:val="20"/>
                <w:szCs w:val="20"/>
                <w:lang w:eastAsia="en-GB"/>
              </w:rPr>
              <w:t>Exceptions</w:t>
            </w:r>
          </w:p>
        </w:tc>
        <w:tc>
          <w:tcPr>
            <w:tcW w:w="900" w:type="dxa"/>
            <w:vAlign w:val="center"/>
          </w:tcPr>
          <w:p w:rsidR="00681375" w:rsidRPr="009F0B1D" w:rsidRDefault="00681375" w:rsidP="00A2348C">
            <w:pPr>
              <w:shd w:val="clear" w:color="auto" w:fill="FFFFFF"/>
              <w:ind w:left="0" w:firstLine="0"/>
              <w:rPr>
                <w:rFonts w:cs="Arial"/>
                <w:b/>
                <w:bCs/>
                <w:sz w:val="20"/>
                <w:szCs w:val="20"/>
                <w:lang w:eastAsia="en-GB"/>
              </w:rPr>
            </w:pPr>
            <w:r w:rsidRPr="009F0B1D">
              <w:rPr>
                <w:rFonts w:cs="Arial"/>
                <w:b/>
                <w:bCs/>
                <w:sz w:val="20"/>
                <w:szCs w:val="20"/>
                <w:lang w:eastAsia="en-GB"/>
              </w:rPr>
              <w:t>Yes/No</w:t>
            </w:r>
          </w:p>
        </w:tc>
        <w:tc>
          <w:tcPr>
            <w:tcW w:w="3510" w:type="dxa"/>
            <w:vAlign w:val="center"/>
          </w:tcPr>
          <w:p w:rsidR="00681375" w:rsidRPr="009F0B1D" w:rsidRDefault="00681375" w:rsidP="00A2348C">
            <w:pPr>
              <w:shd w:val="clear" w:color="auto" w:fill="FFFFFF"/>
              <w:ind w:left="0" w:firstLine="0"/>
              <w:rPr>
                <w:rFonts w:cs="Arial"/>
                <w:b/>
                <w:bCs/>
                <w:sz w:val="20"/>
                <w:szCs w:val="20"/>
                <w:lang w:eastAsia="en-GB"/>
              </w:rPr>
            </w:pPr>
            <w:r w:rsidRPr="009F0B1D">
              <w:rPr>
                <w:rFonts w:cs="Arial"/>
                <w:b/>
                <w:bCs/>
                <w:sz w:val="20"/>
                <w:szCs w:val="20"/>
                <w:lang w:eastAsia="en-GB"/>
              </w:rPr>
              <w:t>Comments</w:t>
            </w:r>
          </w:p>
        </w:tc>
      </w:tr>
      <w:tr w:rsidR="00681375" w:rsidRPr="009F0B1D" w:rsidTr="003C700E">
        <w:tc>
          <w:tcPr>
            <w:tcW w:w="3330" w:type="dxa"/>
          </w:tcPr>
          <w:p w:rsidR="00681375" w:rsidRPr="009F0B1D" w:rsidRDefault="00681375" w:rsidP="00823C59">
            <w:pPr>
              <w:shd w:val="clear" w:color="auto" w:fill="FFFFFF"/>
              <w:ind w:left="0" w:firstLine="0"/>
              <w:rPr>
                <w:rFonts w:cs="Arial"/>
                <w:sz w:val="20"/>
                <w:szCs w:val="20"/>
                <w:lang w:eastAsia="en-GB"/>
              </w:rPr>
            </w:pPr>
            <w:r w:rsidRPr="009F0B1D">
              <w:rPr>
                <w:rFonts w:cs="Arial"/>
                <w:sz w:val="20"/>
                <w:szCs w:val="20"/>
                <w:lang w:eastAsia="en-GB"/>
              </w:rPr>
              <w:t>Chronic (long-term) respiratory diseases, chronic obstructive pulmonary disease (COPD), emphysema or bronchitis.</w:t>
            </w:r>
          </w:p>
        </w:tc>
        <w:tc>
          <w:tcPr>
            <w:tcW w:w="6210" w:type="dxa"/>
          </w:tcPr>
          <w:p w:rsidR="00681375" w:rsidRPr="00BE40DF" w:rsidRDefault="00681375" w:rsidP="00BE40DF">
            <w:pPr>
              <w:pStyle w:val="Default"/>
              <w:rPr>
                <w:sz w:val="20"/>
                <w:szCs w:val="20"/>
              </w:rPr>
            </w:pPr>
            <w:r w:rsidRPr="00BE40DF">
              <w:rPr>
                <w:sz w:val="20"/>
                <w:szCs w:val="20"/>
              </w:rPr>
              <w:t xml:space="preserve">Those with stable asthma should continue to take their regular medication and do not require any additional precautions beyond maintaining strict hygiene measures. </w:t>
            </w:r>
          </w:p>
          <w:p w:rsidR="00681375" w:rsidRPr="00BE40DF" w:rsidRDefault="00681375" w:rsidP="00026F11">
            <w:pPr>
              <w:shd w:val="clear" w:color="auto" w:fill="FFFFFF"/>
              <w:ind w:left="0" w:firstLine="0"/>
              <w:rPr>
                <w:rFonts w:cs="Arial"/>
                <w:sz w:val="20"/>
                <w:szCs w:val="20"/>
                <w:lang w:eastAsia="en-GB"/>
              </w:rPr>
            </w:pPr>
          </w:p>
        </w:tc>
        <w:tc>
          <w:tcPr>
            <w:tcW w:w="900" w:type="dxa"/>
          </w:tcPr>
          <w:p w:rsidR="00681375" w:rsidRPr="009F0B1D" w:rsidRDefault="00681375" w:rsidP="00026F11">
            <w:pPr>
              <w:shd w:val="clear" w:color="auto" w:fill="FFFFFF"/>
              <w:ind w:left="0" w:firstLine="0"/>
              <w:rPr>
                <w:rFonts w:cs="Arial"/>
                <w:sz w:val="20"/>
                <w:szCs w:val="20"/>
                <w:lang w:eastAsia="en-GB"/>
              </w:rPr>
            </w:pPr>
          </w:p>
        </w:tc>
        <w:tc>
          <w:tcPr>
            <w:tcW w:w="3510" w:type="dxa"/>
          </w:tcPr>
          <w:p w:rsidR="00681375" w:rsidRPr="009F0B1D" w:rsidRDefault="00681375" w:rsidP="00026F11">
            <w:pPr>
              <w:shd w:val="clear" w:color="auto" w:fill="FFFFFF"/>
              <w:ind w:left="0" w:firstLine="0"/>
              <w:rPr>
                <w:rFonts w:cs="Arial"/>
                <w:sz w:val="20"/>
                <w:szCs w:val="20"/>
                <w:lang w:eastAsia="en-GB"/>
              </w:rPr>
            </w:pPr>
          </w:p>
        </w:tc>
      </w:tr>
      <w:tr w:rsidR="00681375" w:rsidRPr="009F0B1D" w:rsidTr="00026F11">
        <w:tc>
          <w:tcPr>
            <w:tcW w:w="333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Chronic heart disease, such as heart failure.</w:t>
            </w:r>
          </w:p>
        </w:tc>
        <w:tc>
          <w:tcPr>
            <w:tcW w:w="6210" w:type="dxa"/>
            <w:shd w:val="clear" w:color="auto" w:fill="FFFFFF"/>
          </w:tcPr>
          <w:p w:rsidR="00681375" w:rsidRPr="00F250A3" w:rsidRDefault="00681375" w:rsidP="00F250A3">
            <w:pPr>
              <w:shd w:val="clear" w:color="auto" w:fill="FFFFFF"/>
              <w:tabs>
                <w:tab w:val="left" w:pos="3510"/>
              </w:tabs>
              <w:ind w:left="0" w:firstLine="0"/>
              <w:rPr>
                <w:rFonts w:cs="Arial"/>
                <w:bCs/>
                <w:sz w:val="20"/>
                <w:szCs w:val="20"/>
                <w:lang w:eastAsia="en-GB"/>
              </w:rPr>
            </w:pPr>
            <w:r w:rsidRPr="00F250A3">
              <w:rPr>
                <w:rFonts w:cs="Arial"/>
                <w:bCs/>
                <w:sz w:val="20"/>
                <w:szCs w:val="20"/>
                <w:lang w:eastAsia="en-GB"/>
              </w:rPr>
              <w:t>No exceptions.</w:t>
            </w:r>
            <w:r w:rsidRPr="00F250A3">
              <w:rPr>
                <w:rFonts w:cs="Arial"/>
                <w:bCs/>
                <w:sz w:val="20"/>
                <w:szCs w:val="20"/>
                <w:lang w:eastAsia="en-GB"/>
              </w:rPr>
              <w:tab/>
            </w:r>
          </w:p>
        </w:tc>
        <w:tc>
          <w:tcPr>
            <w:tcW w:w="900" w:type="dxa"/>
          </w:tcPr>
          <w:p w:rsidR="00681375" w:rsidRPr="009F0B1D" w:rsidRDefault="00681375" w:rsidP="00026F11">
            <w:pPr>
              <w:shd w:val="clear" w:color="auto" w:fill="FFFFFF"/>
              <w:ind w:left="0" w:firstLine="0"/>
              <w:rPr>
                <w:rFonts w:cs="Arial"/>
                <w:b/>
                <w:bCs/>
                <w:sz w:val="20"/>
                <w:szCs w:val="20"/>
                <w:lang w:eastAsia="en-GB"/>
              </w:rPr>
            </w:pPr>
          </w:p>
        </w:tc>
        <w:tc>
          <w:tcPr>
            <w:tcW w:w="3510" w:type="dxa"/>
          </w:tcPr>
          <w:p w:rsidR="00681375" w:rsidRPr="009F0B1D" w:rsidRDefault="00681375" w:rsidP="00026F11">
            <w:pPr>
              <w:shd w:val="clear" w:color="auto" w:fill="FFFFFF"/>
              <w:ind w:left="0" w:firstLine="0"/>
              <w:rPr>
                <w:rFonts w:cs="Arial"/>
                <w:b/>
                <w:bCs/>
                <w:sz w:val="20"/>
                <w:szCs w:val="20"/>
                <w:lang w:eastAsia="en-GB"/>
              </w:rPr>
            </w:pPr>
          </w:p>
        </w:tc>
      </w:tr>
      <w:tr w:rsidR="00681375" w:rsidRPr="009F0B1D" w:rsidTr="00026F11">
        <w:tc>
          <w:tcPr>
            <w:tcW w:w="333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Chronic kidney disease stages 4 and 5.</w:t>
            </w:r>
          </w:p>
        </w:tc>
        <w:tc>
          <w:tcPr>
            <w:tcW w:w="6210" w:type="dxa"/>
            <w:shd w:val="clear" w:color="auto" w:fill="FFFFFF"/>
          </w:tcPr>
          <w:p w:rsidR="00681375" w:rsidRPr="00F250A3" w:rsidRDefault="00681375" w:rsidP="00026F11">
            <w:pPr>
              <w:shd w:val="clear" w:color="auto" w:fill="FFFFFF"/>
              <w:ind w:left="0" w:firstLine="0"/>
              <w:rPr>
                <w:rFonts w:cs="Arial"/>
                <w:bCs/>
                <w:sz w:val="20"/>
                <w:szCs w:val="20"/>
                <w:lang w:eastAsia="en-GB"/>
              </w:rPr>
            </w:pPr>
            <w:r w:rsidRPr="00F250A3">
              <w:rPr>
                <w:rFonts w:cs="Arial"/>
                <w:bCs/>
                <w:sz w:val="20"/>
                <w:szCs w:val="20"/>
                <w:lang w:eastAsia="en-GB"/>
              </w:rPr>
              <w:t>No exceptions.</w:t>
            </w:r>
          </w:p>
        </w:tc>
        <w:tc>
          <w:tcPr>
            <w:tcW w:w="900" w:type="dxa"/>
          </w:tcPr>
          <w:p w:rsidR="00681375" w:rsidRPr="009F0B1D" w:rsidRDefault="00681375" w:rsidP="00026F11">
            <w:pPr>
              <w:shd w:val="clear" w:color="auto" w:fill="FFFFFF"/>
              <w:ind w:left="0" w:firstLine="0"/>
              <w:rPr>
                <w:rFonts w:cs="Arial"/>
                <w:b/>
                <w:bCs/>
                <w:sz w:val="20"/>
                <w:szCs w:val="20"/>
                <w:lang w:eastAsia="en-GB"/>
              </w:rPr>
            </w:pPr>
          </w:p>
        </w:tc>
        <w:tc>
          <w:tcPr>
            <w:tcW w:w="3510" w:type="dxa"/>
          </w:tcPr>
          <w:p w:rsidR="00681375" w:rsidRPr="009F0B1D" w:rsidRDefault="00681375" w:rsidP="00026F11">
            <w:pPr>
              <w:shd w:val="clear" w:color="auto" w:fill="FFFFFF"/>
              <w:ind w:left="0" w:firstLine="0"/>
              <w:rPr>
                <w:rFonts w:cs="Arial"/>
                <w:b/>
                <w:bCs/>
                <w:sz w:val="20"/>
                <w:szCs w:val="20"/>
                <w:lang w:eastAsia="en-GB"/>
              </w:rPr>
            </w:pPr>
          </w:p>
        </w:tc>
      </w:tr>
      <w:tr w:rsidR="00681375" w:rsidRPr="009F0B1D" w:rsidTr="003C700E">
        <w:tc>
          <w:tcPr>
            <w:tcW w:w="333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Hypertension, together with other chronic health conditions.</w:t>
            </w:r>
          </w:p>
        </w:tc>
        <w:tc>
          <w:tcPr>
            <w:tcW w:w="6210" w:type="dxa"/>
          </w:tcPr>
          <w:p w:rsidR="00681375" w:rsidRPr="009F0B1D" w:rsidRDefault="00681375" w:rsidP="00026F11">
            <w:pPr>
              <w:shd w:val="clear" w:color="auto" w:fill="FFFFFF"/>
              <w:ind w:left="0" w:firstLine="0"/>
              <w:rPr>
                <w:rFonts w:cs="Arial"/>
                <w:sz w:val="20"/>
                <w:szCs w:val="20"/>
                <w:lang w:eastAsia="en-GB"/>
              </w:rPr>
            </w:pPr>
            <w:r w:rsidRPr="00DA562D">
              <w:rPr>
                <w:rFonts w:cs="Arial"/>
                <w:sz w:val="20"/>
                <w:szCs w:val="20"/>
                <w:lang w:eastAsia="en-GB"/>
              </w:rPr>
              <w:t xml:space="preserve">Those </w:t>
            </w:r>
            <w:r w:rsidRPr="00DA562D">
              <w:rPr>
                <w:rFonts w:cs="Arial"/>
                <w:color w:val="000000"/>
                <w:sz w:val="20"/>
                <w:szCs w:val="20"/>
                <w:lang w:eastAsia="en-GB"/>
              </w:rPr>
              <w:t>who have well controlled hypertension on one medication and no other chronic health conditions described in this list do not require any additional precautions beyond maintaining strict hygiene measures.</w:t>
            </w:r>
          </w:p>
        </w:tc>
        <w:tc>
          <w:tcPr>
            <w:tcW w:w="900" w:type="dxa"/>
          </w:tcPr>
          <w:p w:rsidR="00681375" w:rsidRPr="009F0B1D" w:rsidRDefault="00681375" w:rsidP="00026F11">
            <w:pPr>
              <w:shd w:val="clear" w:color="auto" w:fill="FFFFFF"/>
              <w:ind w:left="0" w:firstLine="0"/>
              <w:rPr>
                <w:rFonts w:cs="Arial"/>
                <w:sz w:val="20"/>
                <w:szCs w:val="20"/>
                <w:lang w:eastAsia="en-GB"/>
              </w:rPr>
            </w:pPr>
          </w:p>
        </w:tc>
        <w:tc>
          <w:tcPr>
            <w:tcW w:w="3510" w:type="dxa"/>
          </w:tcPr>
          <w:p w:rsidR="00681375" w:rsidRPr="009F0B1D" w:rsidRDefault="00681375" w:rsidP="00026F11">
            <w:pPr>
              <w:shd w:val="clear" w:color="auto" w:fill="FFFFFF"/>
              <w:ind w:left="0" w:firstLine="0"/>
              <w:rPr>
                <w:rFonts w:cs="Arial"/>
                <w:sz w:val="20"/>
                <w:szCs w:val="20"/>
                <w:lang w:eastAsia="en-GB"/>
              </w:rPr>
            </w:pPr>
          </w:p>
        </w:tc>
      </w:tr>
      <w:tr w:rsidR="00681375" w:rsidRPr="009F0B1D" w:rsidTr="003C700E">
        <w:tc>
          <w:tcPr>
            <w:tcW w:w="333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Chronic liver disease requiring immunosuppressive medication or having progressed to</w:t>
            </w:r>
            <w:r>
              <w:rPr>
                <w:rFonts w:cs="Arial"/>
                <w:sz w:val="20"/>
                <w:szCs w:val="20"/>
                <w:lang w:eastAsia="en-GB"/>
              </w:rPr>
              <w:t xml:space="preserve"> severe fibrosis or cirrhosis. </w:t>
            </w:r>
          </w:p>
        </w:tc>
        <w:tc>
          <w:tcPr>
            <w:tcW w:w="6210" w:type="dxa"/>
          </w:tcPr>
          <w:p w:rsidR="00681375" w:rsidRPr="009F0B1D" w:rsidRDefault="00681375" w:rsidP="00823C59">
            <w:pPr>
              <w:shd w:val="clear" w:color="auto" w:fill="FFFFFF"/>
              <w:ind w:left="0" w:firstLine="0"/>
              <w:rPr>
                <w:rFonts w:cs="Arial"/>
                <w:sz w:val="20"/>
                <w:szCs w:val="20"/>
                <w:lang w:eastAsia="en-GB"/>
              </w:rPr>
            </w:pPr>
            <w:r w:rsidRPr="009F0B1D">
              <w:rPr>
                <w:rFonts w:cs="Arial"/>
                <w:sz w:val="20"/>
                <w:szCs w:val="20"/>
                <w:lang w:eastAsia="en-GB"/>
              </w:rPr>
              <w:t>Those with viral hepatitis without severe fibrosis do not require any additional precautions beyond maintaining strict hygiene measures.</w:t>
            </w:r>
          </w:p>
        </w:tc>
        <w:tc>
          <w:tcPr>
            <w:tcW w:w="900" w:type="dxa"/>
          </w:tcPr>
          <w:p w:rsidR="00681375" w:rsidRPr="009F0B1D" w:rsidRDefault="00681375" w:rsidP="00026F11">
            <w:pPr>
              <w:shd w:val="clear" w:color="auto" w:fill="FFFFFF"/>
              <w:ind w:left="0" w:firstLine="0"/>
              <w:rPr>
                <w:rFonts w:cs="Arial"/>
                <w:b/>
                <w:bCs/>
                <w:sz w:val="20"/>
                <w:szCs w:val="20"/>
                <w:lang w:eastAsia="en-GB"/>
              </w:rPr>
            </w:pPr>
          </w:p>
        </w:tc>
        <w:tc>
          <w:tcPr>
            <w:tcW w:w="3510" w:type="dxa"/>
          </w:tcPr>
          <w:p w:rsidR="00681375" w:rsidRPr="009F0B1D" w:rsidRDefault="00681375" w:rsidP="00026F11">
            <w:pPr>
              <w:shd w:val="clear" w:color="auto" w:fill="FFFFFF"/>
              <w:ind w:left="0" w:firstLine="0"/>
              <w:rPr>
                <w:rFonts w:cs="Arial"/>
                <w:b/>
                <w:bCs/>
                <w:sz w:val="20"/>
                <w:szCs w:val="20"/>
                <w:lang w:eastAsia="en-GB"/>
              </w:rPr>
            </w:pPr>
          </w:p>
        </w:tc>
      </w:tr>
      <w:tr w:rsidR="00681375" w:rsidRPr="009F0B1D" w:rsidTr="003C700E">
        <w:trPr>
          <w:trHeight w:val="1943"/>
        </w:trPr>
        <w:tc>
          <w:tcPr>
            <w:tcW w:w="333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 xml:space="preserve">Chronic neurological conditions requiring regular treatments, such as Parkinson's disease, motor neurone disease, multiple sclerosis (MS), a learning disability or cerebral palsy. </w:t>
            </w:r>
          </w:p>
        </w:tc>
        <w:tc>
          <w:tcPr>
            <w:tcW w:w="621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Those with epilepsy need not be excluded from work.</w:t>
            </w:r>
          </w:p>
          <w:p w:rsidR="00681375" w:rsidRPr="009F0B1D" w:rsidRDefault="00681375" w:rsidP="00026F11">
            <w:pPr>
              <w:shd w:val="clear" w:color="auto" w:fill="FFFFFF"/>
              <w:ind w:left="0" w:firstLine="0"/>
              <w:rPr>
                <w:rFonts w:cs="Arial"/>
                <w:b/>
                <w:bCs/>
                <w:sz w:val="20"/>
                <w:szCs w:val="20"/>
                <w:lang w:eastAsia="en-GB"/>
              </w:rPr>
            </w:pPr>
          </w:p>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Those with learning disabilities, no other comorbidity that increases the risk and able to comply with strict hygiene measures.</w:t>
            </w:r>
          </w:p>
          <w:p w:rsidR="00681375" w:rsidRPr="009F0B1D" w:rsidRDefault="00681375" w:rsidP="00026F11">
            <w:pPr>
              <w:shd w:val="clear" w:color="auto" w:fill="FFFFFF"/>
              <w:ind w:left="0" w:firstLine="0"/>
              <w:rPr>
                <w:rFonts w:cs="Arial"/>
                <w:sz w:val="20"/>
                <w:szCs w:val="20"/>
                <w:lang w:eastAsia="en-GB"/>
              </w:rPr>
            </w:pPr>
          </w:p>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Those with dyslexia can work safely. Healthcare workers with cerebral palsy who have Gross Motor Function Classification System Grades 1 and 2 can work safely.</w:t>
            </w:r>
          </w:p>
        </w:tc>
        <w:tc>
          <w:tcPr>
            <w:tcW w:w="900" w:type="dxa"/>
          </w:tcPr>
          <w:p w:rsidR="00681375" w:rsidRPr="009F0B1D" w:rsidRDefault="00681375" w:rsidP="00026F11">
            <w:pPr>
              <w:shd w:val="clear" w:color="auto" w:fill="FFFFFF"/>
              <w:ind w:left="0" w:firstLine="0"/>
              <w:rPr>
                <w:rFonts w:cs="Arial"/>
                <w:b/>
                <w:bCs/>
                <w:sz w:val="20"/>
                <w:szCs w:val="20"/>
                <w:lang w:eastAsia="en-GB"/>
              </w:rPr>
            </w:pPr>
          </w:p>
        </w:tc>
        <w:tc>
          <w:tcPr>
            <w:tcW w:w="3510" w:type="dxa"/>
          </w:tcPr>
          <w:p w:rsidR="00681375" w:rsidRPr="009F0B1D" w:rsidRDefault="00681375" w:rsidP="00026F11">
            <w:pPr>
              <w:shd w:val="clear" w:color="auto" w:fill="FFFFFF"/>
              <w:ind w:left="0" w:firstLine="0"/>
              <w:rPr>
                <w:rFonts w:cs="Arial"/>
                <w:b/>
                <w:bCs/>
                <w:sz w:val="20"/>
                <w:szCs w:val="20"/>
                <w:lang w:eastAsia="en-GB"/>
              </w:rPr>
            </w:pPr>
          </w:p>
        </w:tc>
      </w:tr>
      <w:tr w:rsidR="00681375" w:rsidRPr="00E20143" w:rsidTr="003D68DE">
        <w:tc>
          <w:tcPr>
            <w:tcW w:w="3330" w:type="dxa"/>
          </w:tcPr>
          <w:p w:rsidR="00681375" w:rsidRPr="00E20143" w:rsidRDefault="00681375" w:rsidP="00026F11">
            <w:pPr>
              <w:shd w:val="clear" w:color="auto" w:fill="FFFFFF"/>
              <w:ind w:left="0" w:firstLine="0"/>
              <w:rPr>
                <w:rFonts w:cs="Arial"/>
                <w:sz w:val="20"/>
                <w:szCs w:val="20"/>
                <w:lang w:eastAsia="en-GB"/>
              </w:rPr>
            </w:pPr>
            <w:r w:rsidRPr="00E20143">
              <w:rPr>
                <w:rFonts w:cs="Arial"/>
                <w:sz w:val="20"/>
                <w:szCs w:val="20"/>
                <w:lang w:eastAsia="en-GB"/>
              </w:rPr>
              <w:t>Diabetes</w:t>
            </w:r>
          </w:p>
        </w:tc>
        <w:tc>
          <w:tcPr>
            <w:tcW w:w="6210" w:type="dxa"/>
          </w:tcPr>
          <w:p w:rsidR="00681375" w:rsidRDefault="00681375" w:rsidP="0000185F">
            <w:pPr>
              <w:ind w:left="0" w:firstLine="0"/>
              <w:rPr>
                <w:rFonts w:cs="Arial"/>
                <w:color w:val="000000"/>
                <w:sz w:val="20"/>
                <w:szCs w:val="20"/>
                <w:lang w:eastAsia="en-GB"/>
              </w:rPr>
            </w:pPr>
            <w:r w:rsidRPr="00E20143">
              <w:rPr>
                <w:rFonts w:cs="Arial"/>
                <w:color w:val="000000"/>
                <w:sz w:val="20"/>
                <w:szCs w:val="20"/>
                <w:lang w:eastAsia="en-GB"/>
              </w:rPr>
              <w:t xml:space="preserve">Diabetes has clearly been identified as a risk factor but potential variations between Type I and type II diabetes and age are not clear.  Individual risk assessment for staff with diabetes is required. </w:t>
            </w:r>
          </w:p>
          <w:p w:rsidR="00681375" w:rsidRPr="00E20143" w:rsidRDefault="00681375" w:rsidP="0000185F">
            <w:pPr>
              <w:ind w:left="0" w:firstLine="0"/>
              <w:rPr>
                <w:rFonts w:cs="Arial"/>
                <w:sz w:val="20"/>
                <w:szCs w:val="20"/>
                <w:lang w:eastAsia="en-GB"/>
              </w:rPr>
            </w:pPr>
          </w:p>
        </w:tc>
        <w:tc>
          <w:tcPr>
            <w:tcW w:w="900" w:type="dxa"/>
          </w:tcPr>
          <w:p w:rsidR="00681375" w:rsidRPr="00E20143" w:rsidRDefault="00681375" w:rsidP="00026F11">
            <w:pPr>
              <w:ind w:left="0" w:firstLine="0"/>
              <w:rPr>
                <w:rFonts w:cs="Arial"/>
                <w:sz w:val="20"/>
                <w:szCs w:val="20"/>
                <w:lang w:eastAsia="en-GB"/>
              </w:rPr>
            </w:pPr>
          </w:p>
        </w:tc>
        <w:tc>
          <w:tcPr>
            <w:tcW w:w="3510" w:type="dxa"/>
          </w:tcPr>
          <w:p w:rsidR="00681375" w:rsidRPr="00E20143" w:rsidRDefault="00681375" w:rsidP="00026F11">
            <w:pPr>
              <w:ind w:left="0" w:firstLine="0"/>
              <w:rPr>
                <w:rFonts w:cs="Arial"/>
                <w:sz w:val="20"/>
                <w:szCs w:val="20"/>
                <w:lang w:eastAsia="en-GB"/>
              </w:rPr>
            </w:pPr>
          </w:p>
        </w:tc>
      </w:tr>
      <w:tr w:rsidR="00681375" w:rsidRPr="009F0B1D" w:rsidTr="003D68DE">
        <w:tc>
          <w:tcPr>
            <w:tcW w:w="333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 xml:space="preserve">Splenic dysfunction </w:t>
            </w:r>
          </w:p>
        </w:tc>
        <w:tc>
          <w:tcPr>
            <w:tcW w:w="6210" w:type="dxa"/>
          </w:tcPr>
          <w:p w:rsidR="00681375" w:rsidRPr="009F0B1D" w:rsidRDefault="00681375" w:rsidP="00026F11">
            <w:pPr>
              <w:shd w:val="clear" w:color="auto" w:fill="FFFFFF"/>
              <w:ind w:left="0" w:firstLine="0"/>
              <w:rPr>
                <w:rFonts w:cs="Arial"/>
                <w:sz w:val="20"/>
                <w:szCs w:val="20"/>
                <w:lang w:eastAsia="en-GB"/>
              </w:rPr>
            </w:pPr>
            <w:r w:rsidRPr="009F0B1D">
              <w:rPr>
                <w:rFonts w:cs="Arial"/>
                <w:sz w:val="20"/>
                <w:szCs w:val="20"/>
                <w:lang w:eastAsia="en-GB"/>
              </w:rPr>
              <w:t>Those with splenic dysfunction or asplenia do not require any additional precautions beyond maintaining strict hygiene measures.</w:t>
            </w:r>
          </w:p>
        </w:tc>
        <w:tc>
          <w:tcPr>
            <w:tcW w:w="900" w:type="dxa"/>
          </w:tcPr>
          <w:p w:rsidR="00681375" w:rsidRPr="009F0B1D" w:rsidRDefault="00681375" w:rsidP="00026F11">
            <w:pPr>
              <w:shd w:val="clear" w:color="auto" w:fill="FFFFFF"/>
              <w:ind w:left="0" w:firstLine="0"/>
              <w:rPr>
                <w:rFonts w:cs="Arial"/>
                <w:b/>
                <w:bCs/>
                <w:sz w:val="20"/>
                <w:szCs w:val="20"/>
                <w:lang w:eastAsia="en-GB"/>
              </w:rPr>
            </w:pPr>
          </w:p>
        </w:tc>
        <w:tc>
          <w:tcPr>
            <w:tcW w:w="3510" w:type="dxa"/>
          </w:tcPr>
          <w:p w:rsidR="00681375" w:rsidRPr="009F0B1D" w:rsidRDefault="00681375" w:rsidP="00026F11">
            <w:pPr>
              <w:shd w:val="clear" w:color="auto" w:fill="FFFFFF"/>
              <w:ind w:left="0" w:firstLine="0"/>
              <w:rPr>
                <w:rFonts w:cs="Arial"/>
                <w:b/>
                <w:bCs/>
                <w:sz w:val="20"/>
                <w:szCs w:val="20"/>
                <w:lang w:eastAsia="en-GB"/>
              </w:rPr>
            </w:pPr>
          </w:p>
        </w:tc>
      </w:tr>
      <w:tr w:rsidR="00681375" w:rsidRPr="00D4079A" w:rsidTr="003D68DE">
        <w:trPr>
          <w:trHeight w:val="1547"/>
        </w:trPr>
        <w:tc>
          <w:tcPr>
            <w:tcW w:w="3330" w:type="dxa"/>
          </w:tcPr>
          <w:p w:rsidR="00681375" w:rsidRPr="00D4079A" w:rsidRDefault="00681375" w:rsidP="00026F11">
            <w:pPr>
              <w:shd w:val="clear" w:color="auto" w:fill="FFFFFF"/>
              <w:ind w:left="0" w:firstLine="0"/>
              <w:rPr>
                <w:rFonts w:cs="Arial"/>
                <w:sz w:val="20"/>
                <w:szCs w:val="20"/>
                <w:lang w:eastAsia="en-GB"/>
              </w:rPr>
            </w:pPr>
            <w:r w:rsidRPr="00D4079A">
              <w:rPr>
                <w:rFonts w:cs="Arial"/>
                <w:sz w:val="20"/>
                <w:szCs w:val="20"/>
                <w:lang w:eastAsia="en-GB"/>
              </w:rPr>
              <w:lastRenderedPageBreak/>
              <w:t>A weakened immune system as the result of conditions such as HIV and AIDS, or medicines such as steroid tablets or immunosuppressants.</w:t>
            </w:r>
          </w:p>
        </w:tc>
        <w:tc>
          <w:tcPr>
            <w:tcW w:w="6210" w:type="dxa"/>
          </w:tcPr>
          <w:p w:rsidR="00681375" w:rsidRPr="00D4079A" w:rsidRDefault="00681375" w:rsidP="00026F11">
            <w:pPr>
              <w:shd w:val="clear" w:color="auto" w:fill="FFFFFF"/>
              <w:ind w:left="0" w:firstLine="0"/>
              <w:rPr>
                <w:rFonts w:cs="Arial"/>
                <w:sz w:val="20"/>
                <w:szCs w:val="20"/>
                <w:lang w:eastAsia="en-GB"/>
              </w:rPr>
            </w:pPr>
            <w:r w:rsidRPr="00D4079A">
              <w:rPr>
                <w:rFonts w:cs="Arial"/>
                <w:sz w:val="20"/>
                <w:szCs w:val="20"/>
                <w:lang w:eastAsia="en-GB"/>
              </w:rPr>
              <w:t xml:space="preserve">Those with HIV who have an undetectable viral load and CD4&gt; 350 do not require any additional precautions beyond maintaining strict hygiene measures. </w:t>
            </w:r>
          </w:p>
          <w:p w:rsidR="00681375" w:rsidRPr="00D4079A" w:rsidRDefault="00681375" w:rsidP="00026F11">
            <w:pPr>
              <w:shd w:val="clear" w:color="auto" w:fill="FFFFFF"/>
              <w:ind w:left="0" w:firstLine="0"/>
              <w:rPr>
                <w:rFonts w:cs="Arial"/>
                <w:sz w:val="20"/>
                <w:szCs w:val="20"/>
                <w:lang w:eastAsia="en-GB"/>
              </w:rPr>
            </w:pPr>
          </w:p>
          <w:p w:rsidR="00681375" w:rsidRDefault="00681375" w:rsidP="00B7055E">
            <w:pPr>
              <w:shd w:val="clear" w:color="auto" w:fill="FFFFFF"/>
              <w:ind w:left="0" w:firstLine="0"/>
              <w:rPr>
                <w:rFonts w:cs="Arial"/>
                <w:sz w:val="20"/>
                <w:szCs w:val="20"/>
                <w:lang w:eastAsia="en-GB"/>
              </w:rPr>
            </w:pPr>
            <w:r w:rsidRPr="00D4079A">
              <w:rPr>
                <w:rFonts w:cs="Arial"/>
                <w:color w:val="000000"/>
                <w:sz w:val="20"/>
                <w:szCs w:val="20"/>
                <w:lang w:eastAsia="en-GB"/>
              </w:rPr>
              <w:t xml:space="preserve">Immunomodulatory drugs vary widely in the degree of immunosuppression produced. We have adapted advice on immunosuppression from the Infectious Disease Society of North America that was produced for guidance on administering live vaccines. Healthcare workers on drugs producing low level immunosuppression or low dose steroids as safe to work. </w:t>
            </w:r>
            <w:r w:rsidRPr="00D4079A">
              <w:rPr>
                <w:rFonts w:cs="Arial"/>
                <w:sz w:val="20"/>
                <w:szCs w:val="20"/>
                <w:lang w:eastAsia="en-GB"/>
              </w:rPr>
              <w:t>See Appendix One for details.</w:t>
            </w:r>
          </w:p>
          <w:p w:rsidR="00681375" w:rsidRPr="00D4079A" w:rsidRDefault="00681375" w:rsidP="00B7055E">
            <w:pPr>
              <w:shd w:val="clear" w:color="auto" w:fill="FFFFFF"/>
              <w:ind w:left="0" w:firstLine="0"/>
              <w:rPr>
                <w:rFonts w:cs="Arial"/>
                <w:sz w:val="20"/>
                <w:szCs w:val="20"/>
                <w:lang w:eastAsia="en-GB"/>
              </w:rPr>
            </w:pPr>
          </w:p>
        </w:tc>
        <w:tc>
          <w:tcPr>
            <w:tcW w:w="900" w:type="dxa"/>
          </w:tcPr>
          <w:p w:rsidR="00681375" w:rsidRPr="00D4079A" w:rsidRDefault="00681375" w:rsidP="00026F11">
            <w:pPr>
              <w:shd w:val="clear" w:color="auto" w:fill="FFFFFF"/>
              <w:ind w:left="0" w:firstLine="0"/>
              <w:rPr>
                <w:rFonts w:cs="Arial"/>
                <w:b/>
                <w:bCs/>
                <w:sz w:val="20"/>
                <w:szCs w:val="20"/>
                <w:lang w:eastAsia="en-GB"/>
              </w:rPr>
            </w:pPr>
          </w:p>
        </w:tc>
        <w:tc>
          <w:tcPr>
            <w:tcW w:w="3510" w:type="dxa"/>
          </w:tcPr>
          <w:p w:rsidR="00681375" w:rsidRPr="00D4079A" w:rsidRDefault="00681375" w:rsidP="00026F11">
            <w:pPr>
              <w:shd w:val="clear" w:color="auto" w:fill="FFFFFF"/>
              <w:ind w:left="0" w:firstLine="0"/>
              <w:rPr>
                <w:rFonts w:cs="Arial"/>
                <w:b/>
                <w:bCs/>
                <w:sz w:val="20"/>
                <w:szCs w:val="20"/>
                <w:lang w:eastAsia="en-GB"/>
              </w:rPr>
            </w:pPr>
          </w:p>
        </w:tc>
      </w:tr>
      <w:tr w:rsidR="00681375" w:rsidRPr="009F0B1D" w:rsidTr="007B4B70">
        <w:tc>
          <w:tcPr>
            <w:tcW w:w="3330" w:type="dxa"/>
          </w:tcPr>
          <w:p w:rsidR="00681375" w:rsidRPr="00E20143" w:rsidRDefault="00681375" w:rsidP="007B4B70">
            <w:pPr>
              <w:shd w:val="clear" w:color="auto" w:fill="FFFFFF"/>
              <w:ind w:left="0" w:firstLine="0"/>
              <w:rPr>
                <w:rFonts w:cs="Arial"/>
                <w:sz w:val="20"/>
                <w:szCs w:val="20"/>
                <w:lang w:eastAsia="en-GB"/>
              </w:rPr>
            </w:pPr>
            <w:r w:rsidRPr="00E20143">
              <w:rPr>
                <w:rFonts w:cs="Arial"/>
                <w:sz w:val="20"/>
                <w:szCs w:val="20"/>
                <w:lang w:eastAsia="en-GB"/>
              </w:rPr>
              <w:t>Being seriously overweight (a BMI of 40 or above).</w:t>
            </w:r>
          </w:p>
          <w:p w:rsidR="00681375" w:rsidRPr="00E20143" w:rsidRDefault="00681375" w:rsidP="007B4B70">
            <w:pPr>
              <w:shd w:val="clear" w:color="auto" w:fill="FFFFFF"/>
              <w:ind w:left="0" w:firstLine="0"/>
              <w:rPr>
                <w:rFonts w:cs="Arial"/>
                <w:sz w:val="20"/>
                <w:szCs w:val="20"/>
                <w:lang w:eastAsia="en-GB"/>
              </w:rPr>
            </w:pPr>
          </w:p>
        </w:tc>
        <w:tc>
          <w:tcPr>
            <w:tcW w:w="6210" w:type="dxa"/>
          </w:tcPr>
          <w:p w:rsidR="00681375" w:rsidRPr="00E20143" w:rsidRDefault="00681375" w:rsidP="007B4B70">
            <w:pPr>
              <w:shd w:val="clear" w:color="auto" w:fill="FFFFFF"/>
              <w:ind w:left="0" w:firstLine="0"/>
              <w:rPr>
                <w:rFonts w:cs="Arial"/>
                <w:sz w:val="20"/>
                <w:szCs w:val="20"/>
                <w:lang w:eastAsia="en-GB"/>
              </w:rPr>
            </w:pPr>
            <w:r w:rsidRPr="00E20143">
              <w:rPr>
                <w:rFonts w:cs="Arial"/>
                <w:sz w:val="20"/>
                <w:szCs w:val="20"/>
                <w:lang w:eastAsia="en-GB"/>
              </w:rPr>
              <w:t>Those with a BMI &gt; 40 but no other chronic health conditions described above do not require any additional precautions beyond maintaining strict hygiene measures.</w:t>
            </w:r>
          </w:p>
        </w:tc>
        <w:tc>
          <w:tcPr>
            <w:tcW w:w="900" w:type="dxa"/>
          </w:tcPr>
          <w:p w:rsidR="00681375" w:rsidRPr="009F0B1D" w:rsidRDefault="00681375" w:rsidP="007B4B70">
            <w:pPr>
              <w:shd w:val="clear" w:color="auto" w:fill="FFFFFF"/>
              <w:ind w:left="0" w:firstLine="0"/>
              <w:rPr>
                <w:rFonts w:cs="Arial"/>
                <w:b/>
                <w:bCs/>
                <w:sz w:val="20"/>
                <w:szCs w:val="20"/>
                <w:lang w:eastAsia="en-GB"/>
              </w:rPr>
            </w:pPr>
          </w:p>
        </w:tc>
        <w:tc>
          <w:tcPr>
            <w:tcW w:w="3510" w:type="dxa"/>
          </w:tcPr>
          <w:p w:rsidR="00681375" w:rsidRPr="009F0B1D" w:rsidRDefault="00681375" w:rsidP="007B4B70">
            <w:pPr>
              <w:shd w:val="clear" w:color="auto" w:fill="FFFFFF"/>
              <w:ind w:left="0" w:firstLine="0"/>
              <w:rPr>
                <w:rFonts w:cs="Arial"/>
                <w:b/>
                <w:bCs/>
                <w:sz w:val="20"/>
                <w:szCs w:val="20"/>
                <w:lang w:eastAsia="en-GB"/>
              </w:rPr>
            </w:pPr>
          </w:p>
        </w:tc>
      </w:tr>
    </w:tbl>
    <w:p w:rsidR="00681375" w:rsidRDefault="00681375">
      <w:pPr>
        <w:rPr>
          <w:sz w:val="20"/>
          <w:szCs w:val="20"/>
        </w:rPr>
      </w:pPr>
    </w:p>
    <w:p w:rsidR="00681375" w:rsidRDefault="00681375" w:rsidP="00E20143">
      <w:pPr>
        <w:ind w:left="720" w:firstLine="0"/>
        <w:rPr>
          <w:b/>
          <w:sz w:val="20"/>
          <w:szCs w:val="20"/>
        </w:rPr>
      </w:pPr>
    </w:p>
    <w:p w:rsidR="00681375" w:rsidRPr="000A6312" w:rsidRDefault="00681375" w:rsidP="009F513E">
      <w:pPr>
        <w:numPr>
          <w:ilvl w:val="0"/>
          <w:numId w:val="4"/>
        </w:numPr>
        <w:ind w:hanging="720"/>
        <w:rPr>
          <w:rFonts w:cs="Arial"/>
          <w:b/>
          <w:sz w:val="20"/>
          <w:szCs w:val="20"/>
        </w:rPr>
      </w:pPr>
      <w:r w:rsidRPr="000A6312">
        <w:rPr>
          <w:rFonts w:cs="Arial"/>
          <w:b/>
          <w:sz w:val="20"/>
          <w:szCs w:val="20"/>
        </w:rPr>
        <w:t>Black, Asian, Minority Ethnic</w:t>
      </w:r>
    </w:p>
    <w:p w:rsidR="00681375" w:rsidRPr="000A6312" w:rsidRDefault="00681375" w:rsidP="00AA428C">
      <w:pPr>
        <w:rPr>
          <w:rFonts w:cs="Arial"/>
          <w:b/>
          <w:sz w:val="20"/>
          <w:szCs w:val="20"/>
        </w:rPr>
      </w:pPr>
    </w:p>
    <w:p w:rsidR="00681375" w:rsidRDefault="00344458" w:rsidP="001707FF">
      <w:pPr>
        <w:ind w:left="0" w:firstLine="0"/>
        <w:rPr>
          <w:rFonts w:cs="Arial"/>
          <w:sz w:val="20"/>
          <w:szCs w:val="20"/>
        </w:rPr>
      </w:pPr>
      <w:r w:rsidRPr="000A6312">
        <w:rPr>
          <w:rFonts w:cs="Arial"/>
          <w:sz w:val="20"/>
          <w:szCs w:val="20"/>
        </w:rPr>
        <w:t xml:space="preserve">Black, Asian and Minority Ethnic (BAME, used in this report), or Black and Minority Ethnic (BME) refer to individuals from various ethnic backgrounds other than White. We recognise that within BAME groups, there are some groups which may be more at risk than others, and data is emerging on this issue. </w:t>
      </w:r>
      <w:r w:rsidR="00681375" w:rsidRPr="000A6312">
        <w:rPr>
          <w:rFonts w:cs="Arial"/>
          <w:sz w:val="20"/>
          <w:szCs w:val="20"/>
        </w:rPr>
        <w:t>The disproportionately high death rates in BAME staff appear to be only partially explained by</w:t>
      </w:r>
      <w:r w:rsidRPr="000A6312">
        <w:rPr>
          <w:rFonts w:cs="Arial"/>
          <w:sz w:val="20"/>
          <w:szCs w:val="20"/>
        </w:rPr>
        <w:t xml:space="preserve"> </w:t>
      </w:r>
      <w:r w:rsidR="00681375" w:rsidRPr="000A6312">
        <w:rPr>
          <w:rFonts w:cs="Arial"/>
          <w:sz w:val="20"/>
          <w:szCs w:val="20"/>
        </w:rPr>
        <w:t>age, gender, socio-demographic features and underlying health conditions.</w:t>
      </w:r>
    </w:p>
    <w:p w:rsidR="00367A60" w:rsidRPr="000A6312" w:rsidRDefault="00367A60" w:rsidP="00970873">
      <w:pPr>
        <w:rPr>
          <w:rFonts w:cs="Arial"/>
          <w:sz w:val="20"/>
          <w:szCs w:val="20"/>
        </w:rPr>
      </w:pPr>
    </w:p>
    <w:p w:rsidR="00565237" w:rsidRPr="00565237" w:rsidRDefault="00565237" w:rsidP="00565237">
      <w:pPr>
        <w:rPr>
          <w:rFonts w:cs="Arial"/>
          <w:sz w:val="20"/>
          <w:szCs w:val="20"/>
        </w:rPr>
      </w:pPr>
      <w:r w:rsidRPr="00565237">
        <w:rPr>
          <w:rFonts w:cs="Arial"/>
          <w:sz w:val="20"/>
          <w:szCs w:val="20"/>
        </w:rPr>
        <w:t xml:space="preserve">Further information can be found within this article: </w:t>
      </w:r>
      <w:hyperlink r:id="rId8" w:history="1">
        <w:r w:rsidRPr="00565237">
          <w:rPr>
            <w:rStyle w:val="Hyperlink"/>
            <w:rFonts w:cs="Arial"/>
            <w:sz w:val="20"/>
            <w:szCs w:val="20"/>
          </w:rPr>
          <w:t>https://www.hsj.co.uk/exclusive-deaths-of-nhs-staff-from-covid-19-analysed/7027471.article</w:t>
        </w:r>
      </w:hyperlink>
      <w:r w:rsidRPr="00565237">
        <w:rPr>
          <w:rFonts w:cs="Arial"/>
          <w:sz w:val="20"/>
          <w:szCs w:val="20"/>
        </w:rPr>
        <w:t xml:space="preserve"> </w:t>
      </w:r>
    </w:p>
    <w:p w:rsidR="00681375" w:rsidRPr="000A6312" w:rsidRDefault="00681375" w:rsidP="00AA428C">
      <w:pPr>
        <w:ind w:left="0" w:firstLine="0"/>
        <w:rPr>
          <w:rFonts w:cs="Arial"/>
          <w:sz w:val="20"/>
          <w:szCs w:val="20"/>
        </w:rPr>
      </w:pPr>
    </w:p>
    <w:p w:rsidR="00681375" w:rsidRPr="000A6312" w:rsidRDefault="00681375" w:rsidP="001707FF">
      <w:pPr>
        <w:ind w:left="0" w:firstLine="0"/>
        <w:rPr>
          <w:rFonts w:cs="Arial"/>
          <w:sz w:val="20"/>
          <w:szCs w:val="20"/>
        </w:rPr>
      </w:pPr>
      <w:r w:rsidRPr="000A6312">
        <w:rPr>
          <w:rFonts w:cs="Arial"/>
          <w:sz w:val="20"/>
          <w:szCs w:val="20"/>
        </w:rPr>
        <w:t>This is an opportunity to ensure that all aspects of the work environment have been discussed and any changes which need to be made can be</w:t>
      </w:r>
      <w:r w:rsidR="001707FF">
        <w:rPr>
          <w:rFonts w:cs="Arial"/>
          <w:sz w:val="20"/>
          <w:szCs w:val="20"/>
        </w:rPr>
        <w:t xml:space="preserve"> </w:t>
      </w:r>
      <w:r w:rsidRPr="000A6312">
        <w:rPr>
          <w:rFonts w:cs="Arial"/>
          <w:sz w:val="20"/>
          <w:szCs w:val="20"/>
        </w:rPr>
        <w:t>recorded and implemented. Ensure your staff members are included in any decision making about them and that the conversation is</w:t>
      </w:r>
      <w:r w:rsidR="001707FF">
        <w:rPr>
          <w:rFonts w:cs="Arial"/>
          <w:sz w:val="20"/>
          <w:szCs w:val="20"/>
        </w:rPr>
        <w:t xml:space="preserve"> </w:t>
      </w:r>
      <w:r w:rsidRPr="000A6312">
        <w:rPr>
          <w:rFonts w:cs="Arial"/>
          <w:sz w:val="20"/>
          <w:szCs w:val="20"/>
        </w:rPr>
        <w:t>culturally sensitive - taking into account their culture and traditions, religion or beliefs and language.</w:t>
      </w:r>
      <w:r w:rsidR="00344458" w:rsidRPr="000A6312">
        <w:rPr>
          <w:rFonts w:cs="Arial"/>
          <w:sz w:val="20"/>
          <w:szCs w:val="20"/>
        </w:rPr>
        <w:t xml:space="preserve"> </w:t>
      </w:r>
    </w:p>
    <w:p w:rsidR="00681375" w:rsidRPr="000A6312" w:rsidRDefault="00681375" w:rsidP="00AA428C">
      <w:pPr>
        <w:ind w:left="0" w:firstLine="0"/>
        <w:rPr>
          <w:rFonts w:cs="Arial"/>
          <w:sz w:val="20"/>
          <w:szCs w:val="20"/>
        </w:rPr>
      </w:pPr>
    </w:p>
    <w:p w:rsidR="00681375" w:rsidRPr="000A6312" w:rsidRDefault="00681375" w:rsidP="00AA428C">
      <w:pPr>
        <w:ind w:left="0" w:firstLine="0"/>
        <w:rPr>
          <w:rFonts w:cs="Arial"/>
          <w:sz w:val="20"/>
          <w:szCs w:val="20"/>
        </w:rPr>
      </w:pPr>
      <w:r w:rsidRPr="000A6312">
        <w:rPr>
          <w:rFonts w:cs="Arial"/>
          <w:sz w:val="20"/>
          <w:szCs w:val="20"/>
        </w:rPr>
        <w:t>Please see the guiding points below to help facilitate conversation and changes that would be helpful.</w:t>
      </w:r>
    </w:p>
    <w:p w:rsidR="00681375" w:rsidRPr="000A6312" w:rsidRDefault="00681375" w:rsidP="00AA428C">
      <w:pPr>
        <w:ind w:left="0" w:firstLine="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5478"/>
        <w:gridCol w:w="5450"/>
      </w:tblGrid>
      <w:tr w:rsidR="009F4A5D" w:rsidRPr="000A6312" w:rsidTr="009F4A5D">
        <w:tc>
          <w:tcPr>
            <w:tcW w:w="14174" w:type="dxa"/>
            <w:gridSpan w:val="3"/>
            <w:shd w:val="clear" w:color="auto" w:fill="C6D9F1" w:themeFill="text2" w:themeFillTint="33"/>
          </w:tcPr>
          <w:p w:rsidR="009F4A5D" w:rsidRPr="000A6312" w:rsidRDefault="009F4A5D" w:rsidP="009F4A5D">
            <w:pPr>
              <w:ind w:left="0" w:firstLine="0"/>
              <w:jc w:val="center"/>
              <w:rPr>
                <w:rFonts w:cs="Arial"/>
                <w:b/>
                <w:sz w:val="20"/>
                <w:szCs w:val="20"/>
              </w:rPr>
            </w:pPr>
            <w:r w:rsidRPr="000A6312">
              <w:rPr>
                <w:rFonts w:cs="Arial"/>
                <w:b/>
                <w:sz w:val="20"/>
                <w:szCs w:val="20"/>
              </w:rPr>
              <w:t>Record any comments made and changes which have been agreed</w:t>
            </w:r>
          </w:p>
          <w:p w:rsidR="009F4A5D" w:rsidRPr="000A6312" w:rsidRDefault="009F4A5D" w:rsidP="0042597A">
            <w:pPr>
              <w:ind w:left="0" w:firstLine="0"/>
              <w:rPr>
                <w:rFonts w:cs="Arial"/>
                <w:b/>
                <w:sz w:val="20"/>
                <w:szCs w:val="20"/>
              </w:rPr>
            </w:pPr>
          </w:p>
        </w:tc>
      </w:tr>
      <w:tr w:rsidR="009F4A5D" w:rsidRPr="000A6312" w:rsidTr="009F4A5D">
        <w:tc>
          <w:tcPr>
            <w:tcW w:w="3060" w:type="dxa"/>
            <w:shd w:val="clear" w:color="auto" w:fill="C6D9F1" w:themeFill="text2" w:themeFillTint="33"/>
          </w:tcPr>
          <w:p w:rsidR="009F4A5D" w:rsidRPr="000A6312" w:rsidRDefault="009F4A5D" w:rsidP="002304B5">
            <w:pPr>
              <w:ind w:left="0" w:firstLine="0"/>
              <w:rPr>
                <w:rFonts w:cs="Arial"/>
                <w:sz w:val="20"/>
                <w:szCs w:val="20"/>
              </w:rPr>
            </w:pPr>
            <w:r w:rsidRPr="000A6312">
              <w:rPr>
                <w:rFonts w:cs="Arial"/>
                <w:sz w:val="20"/>
                <w:szCs w:val="20"/>
              </w:rPr>
              <w:t>Issue</w:t>
            </w:r>
          </w:p>
        </w:tc>
        <w:tc>
          <w:tcPr>
            <w:tcW w:w="5553" w:type="dxa"/>
            <w:shd w:val="clear" w:color="auto" w:fill="C6D9F1" w:themeFill="text2" w:themeFillTint="33"/>
          </w:tcPr>
          <w:p w:rsidR="009F4A5D" w:rsidRPr="000A6312" w:rsidRDefault="009F4A5D" w:rsidP="009F4A5D">
            <w:pPr>
              <w:rPr>
                <w:rFonts w:cs="Arial"/>
                <w:sz w:val="20"/>
                <w:szCs w:val="20"/>
              </w:rPr>
            </w:pPr>
            <w:r w:rsidRPr="000A6312">
              <w:rPr>
                <w:rFonts w:cs="Arial"/>
                <w:sz w:val="20"/>
                <w:szCs w:val="20"/>
              </w:rPr>
              <w:t xml:space="preserve">Guidance </w:t>
            </w:r>
          </w:p>
        </w:tc>
        <w:tc>
          <w:tcPr>
            <w:tcW w:w="5561" w:type="dxa"/>
            <w:shd w:val="clear" w:color="auto" w:fill="C6D9F1" w:themeFill="text2" w:themeFillTint="33"/>
          </w:tcPr>
          <w:p w:rsidR="009F4A5D" w:rsidRPr="000A6312" w:rsidRDefault="009F4A5D" w:rsidP="00344458">
            <w:pPr>
              <w:rPr>
                <w:rFonts w:cs="Arial"/>
                <w:sz w:val="20"/>
                <w:szCs w:val="20"/>
              </w:rPr>
            </w:pPr>
            <w:r w:rsidRPr="000A6312">
              <w:rPr>
                <w:rFonts w:cs="Arial"/>
                <w:sz w:val="20"/>
                <w:szCs w:val="20"/>
              </w:rPr>
              <w:t xml:space="preserve">Record of discussion </w:t>
            </w:r>
          </w:p>
        </w:tc>
      </w:tr>
      <w:tr w:rsidR="009F4A5D" w:rsidRPr="000A6312" w:rsidTr="009F4A5D">
        <w:tc>
          <w:tcPr>
            <w:tcW w:w="3060" w:type="dxa"/>
          </w:tcPr>
          <w:p w:rsidR="009F4A5D" w:rsidRPr="000A6312" w:rsidRDefault="009F4A5D" w:rsidP="002304B5">
            <w:pPr>
              <w:ind w:left="0" w:firstLine="0"/>
              <w:rPr>
                <w:rFonts w:cs="Arial"/>
                <w:b/>
                <w:sz w:val="20"/>
                <w:szCs w:val="20"/>
              </w:rPr>
            </w:pPr>
            <w:r w:rsidRPr="000A6312">
              <w:rPr>
                <w:rFonts w:cs="Arial"/>
                <w:b/>
                <w:sz w:val="20"/>
                <w:szCs w:val="20"/>
              </w:rPr>
              <w:lastRenderedPageBreak/>
              <w:t xml:space="preserve">Are there any cultural considerations to be made in relation to your work environment? </w:t>
            </w:r>
          </w:p>
          <w:p w:rsidR="009F4A5D" w:rsidRPr="000A6312" w:rsidRDefault="009F4A5D" w:rsidP="002304B5">
            <w:pPr>
              <w:ind w:left="0" w:firstLine="0"/>
              <w:rPr>
                <w:rFonts w:cs="Arial"/>
                <w:b/>
                <w:sz w:val="20"/>
                <w:szCs w:val="20"/>
              </w:rPr>
            </w:pPr>
            <w:r w:rsidRPr="000A6312">
              <w:rPr>
                <w:rFonts w:cs="Arial"/>
                <w:b/>
                <w:sz w:val="20"/>
                <w:szCs w:val="20"/>
              </w:rPr>
              <w:t>Does any of this impact on your home/family life?</w:t>
            </w:r>
          </w:p>
          <w:p w:rsidR="009F4A5D" w:rsidRPr="000A6312" w:rsidRDefault="009F4A5D" w:rsidP="006A4FCD">
            <w:pPr>
              <w:pStyle w:val="Default"/>
              <w:rPr>
                <w:bCs/>
                <w:sz w:val="20"/>
                <w:szCs w:val="20"/>
                <w:vertAlign w:val="superscript"/>
              </w:rPr>
            </w:pPr>
          </w:p>
        </w:tc>
        <w:tc>
          <w:tcPr>
            <w:tcW w:w="5553" w:type="dxa"/>
          </w:tcPr>
          <w:p w:rsidR="000A6312" w:rsidRDefault="009F4A5D" w:rsidP="009F4A5D">
            <w:pPr>
              <w:rPr>
                <w:rFonts w:cs="Arial"/>
                <w:sz w:val="20"/>
                <w:szCs w:val="20"/>
              </w:rPr>
            </w:pPr>
            <w:r w:rsidRPr="000A6312">
              <w:rPr>
                <w:rFonts w:cs="Arial"/>
                <w:sz w:val="20"/>
                <w:szCs w:val="20"/>
              </w:rPr>
              <w:t>Ensure that staff members are included in any</w:t>
            </w:r>
            <w:r w:rsidR="000A6312">
              <w:rPr>
                <w:rFonts w:cs="Arial"/>
                <w:sz w:val="20"/>
                <w:szCs w:val="20"/>
              </w:rPr>
              <w:t xml:space="preserve"> </w:t>
            </w:r>
            <w:r w:rsidRPr="000A6312">
              <w:rPr>
                <w:rFonts w:cs="Arial"/>
                <w:sz w:val="20"/>
                <w:szCs w:val="20"/>
              </w:rPr>
              <w:t xml:space="preserve">decision </w:t>
            </w:r>
          </w:p>
          <w:p w:rsidR="000A6312" w:rsidRDefault="009F4A5D" w:rsidP="009F4A5D">
            <w:pPr>
              <w:rPr>
                <w:rFonts w:cs="Arial"/>
                <w:sz w:val="20"/>
                <w:szCs w:val="20"/>
              </w:rPr>
            </w:pPr>
            <w:r w:rsidRPr="000A6312">
              <w:rPr>
                <w:rFonts w:cs="Arial"/>
                <w:sz w:val="20"/>
                <w:szCs w:val="20"/>
              </w:rPr>
              <w:t>making about them and that the conversation</w:t>
            </w:r>
            <w:r w:rsidR="000A6312">
              <w:rPr>
                <w:rFonts w:cs="Arial"/>
                <w:sz w:val="20"/>
                <w:szCs w:val="20"/>
              </w:rPr>
              <w:t xml:space="preserve"> </w:t>
            </w:r>
            <w:r w:rsidRPr="000A6312">
              <w:rPr>
                <w:rFonts w:cs="Arial"/>
                <w:sz w:val="20"/>
                <w:szCs w:val="20"/>
              </w:rPr>
              <w:t xml:space="preserve">is culturally </w:t>
            </w:r>
          </w:p>
          <w:p w:rsidR="000A6312" w:rsidRDefault="009F4A5D" w:rsidP="009F4A5D">
            <w:pPr>
              <w:rPr>
                <w:rFonts w:cs="Arial"/>
                <w:sz w:val="20"/>
                <w:szCs w:val="20"/>
              </w:rPr>
            </w:pPr>
            <w:r w:rsidRPr="000A6312">
              <w:rPr>
                <w:rFonts w:cs="Arial"/>
                <w:sz w:val="20"/>
                <w:szCs w:val="20"/>
              </w:rPr>
              <w:t>sensitive - taking into account their culture</w:t>
            </w:r>
            <w:r w:rsidR="000A6312">
              <w:rPr>
                <w:rFonts w:cs="Arial"/>
                <w:sz w:val="20"/>
                <w:szCs w:val="20"/>
              </w:rPr>
              <w:t xml:space="preserve"> </w:t>
            </w:r>
            <w:r w:rsidRPr="000A6312">
              <w:rPr>
                <w:rFonts w:cs="Arial"/>
                <w:sz w:val="20"/>
                <w:szCs w:val="20"/>
              </w:rPr>
              <w:t xml:space="preserve">and traditions, </w:t>
            </w:r>
          </w:p>
          <w:p w:rsidR="009F4A5D" w:rsidRPr="000A6312" w:rsidRDefault="009F4A5D" w:rsidP="009F4A5D">
            <w:pPr>
              <w:rPr>
                <w:rFonts w:cs="Arial"/>
                <w:sz w:val="20"/>
                <w:szCs w:val="20"/>
              </w:rPr>
            </w:pPr>
            <w:r w:rsidRPr="000A6312">
              <w:rPr>
                <w:rFonts w:cs="Arial"/>
                <w:sz w:val="20"/>
                <w:szCs w:val="20"/>
              </w:rPr>
              <w:t xml:space="preserve">religion or beliefs and language. </w:t>
            </w:r>
          </w:p>
          <w:p w:rsidR="009F4A5D" w:rsidRPr="000A6312" w:rsidRDefault="009F4A5D" w:rsidP="009F4A5D">
            <w:pPr>
              <w:ind w:left="0" w:firstLine="0"/>
              <w:rPr>
                <w:rFonts w:cs="Arial"/>
                <w:sz w:val="20"/>
                <w:szCs w:val="20"/>
              </w:rPr>
            </w:pPr>
          </w:p>
          <w:p w:rsidR="000A6312" w:rsidRPr="00367A60" w:rsidRDefault="009F4A5D" w:rsidP="000A6312">
            <w:pPr>
              <w:ind w:left="0" w:firstLine="0"/>
              <w:rPr>
                <w:rFonts w:cs="Arial"/>
                <w:bCs/>
                <w:sz w:val="20"/>
                <w:szCs w:val="20"/>
                <w:vertAlign w:val="superscript"/>
              </w:rPr>
            </w:pPr>
            <w:r w:rsidRPr="000A6312">
              <w:rPr>
                <w:rFonts w:cs="Arial"/>
                <w:sz w:val="20"/>
                <w:szCs w:val="20"/>
              </w:rPr>
              <w:t xml:space="preserve">See helpful table entitled: </w:t>
            </w:r>
            <w:r w:rsidRPr="000A6312">
              <w:rPr>
                <w:rFonts w:cs="Arial"/>
                <w:bCs/>
                <w:sz w:val="20"/>
                <w:szCs w:val="20"/>
              </w:rPr>
              <w:t>“Paradigm for understanding the impact of inequalities on BAME staff produced by Royal College of Psychiatry (2020) – page 3 reference link below</w:t>
            </w:r>
            <w:r w:rsidRPr="000A6312">
              <w:rPr>
                <w:rFonts w:cs="Arial"/>
                <w:bCs/>
                <w:sz w:val="20"/>
                <w:szCs w:val="20"/>
                <w:vertAlign w:val="superscript"/>
              </w:rPr>
              <w:t>1</w:t>
            </w:r>
          </w:p>
        </w:tc>
        <w:tc>
          <w:tcPr>
            <w:tcW w:w="5561" w:type="dxa"/>
          </w:tcPr>
          <w:p w:rsidR="009F4A5D" w:rsidRPr="000A6312" w:rsidRDefault="009F4A5D" w:rsidP="00344458">
            <w:pPr>
              <w:rPr>
                <w:rFonts w:cs="Arial"/>
                <w:sz w:val="20"/>
                <w:szCs w:val="20"/>
              </w:rPr>
            </w:pPr>
          </w:p>
        </w:tc>
      </w:tr>
      <w:tr w:rsidR="009F4A5D" w:rsidRPr="000A6312" w:rsidTr="009F4A5D">
        <w:tc>
          <w:tcPr>
            <w:tcW w:w="3060" w:type="dxa"/>
          </w:tcPr>
          <w:p w:rsidR="009F4A5D" w:rsidRPr="000A6312" w:rsidRDefault="009F4A5D" w:rsidP="006A4FCD">
            <w:pPr>
              <w:ind w:left="0" w:firstLine="0"/>
              <w:rPr>
                <w:rFonts w:cs="Arial"/>
                <w:b/>
                <w:sz w:val="20"/>
                <w:szCs w:val="20"/>
              </w:rPr>
            </w:pPr>
            <w:r w:rsidRPr="000A6312">
              <w:rPr>
                <w:rFonts w:cs="Arial"/>
                <w:b/>
                <w:sz w:val="20"/>
                <w:szCs w:val="20"/>
              </w:rPr>
              <w:t>How can your work environment support your physical health and wellbeing?</w:t>
            </w:r>
          </w:p>
          <w:p w:rsidR="009F4A5D" w:rsidRPr="000A6312" w:rsidRDefault="009F4A5D" w:rsidP="006A4FCD">
            <w:pPr>
              <w:ind w:left="0" w:firstLine="0"/>
              <w:rPr>
                <w:rFonts w:cs="Arial"/>
                <w:b/>
                <w:sz w:val="20"/>
                <w:szCs w:val="20"/>
              </w:rPr>
            </w:pPr>
          </w:p>
          <w:p w:rsidR="009F4A5D" w:rsidRPr="000A6312" w:rsidRDefault="000A6312" w:rsidP="00DE2566">
            <w:pPr>
              <w:rPr>
                <w:rFonts w:cs="Arial"/>
                <w:b/>
                <w:sz w:val="20"/>
                <w:szCs w:val="20"/>
              </w:rPr>
            </w:pPr>
            <w:r w:rsidRPr="000A6312">
              <w:rPr>
                <w:rFonts w:cs="Arial"/>
                <w:b/>
                <w:sz w:val="20"/>
                <w:szCs w:val="20"/>
              </w:rPr>
              <w:t xml:space="preserve">Any </w:t>
            </w:r>
            <w:r w:rsidR="009F4A5D" w:rsidRPr="000A6312">
              <w:rPr>
                <w:rFonts w:cs="Arial"/>
                <w:b/>
                <w:sz w:val="20"/>
                <w:szCs w:val="20"/>
              </w:rPr>
              <w:t xml:space="preserve">additional </w:t>
            </w:r>
            <w:r w:rsidRPr="000A6312">
              <w:rPr>
                <w:rFonts w:cs="Arial"/>
                <w:b/>
                <w:sz w:val="20"/>
                <w:szCs w:val="20"/>
              </w:rPr>
              <w:t xml:space="preserve">comments </w:t>
            </w:r>
          </w:p>
          <w:p w:rsidR="009F4A5D" w:rsidRPr="000A6312" w:rsidRDefault="009F4A5D" w:rsidP="009F4A5D">
            <w:pPr>
              <w:rPr>
                <w:rFonts w:cs="Arial"/>
                <w:b/>
                <w:sz w:val="20"/>
                <w:szCs w:val="20"/>
              </w:rPr>
            </w:pPr>
            <w:r w:rsidRPr="000A6312">
              <w:rPr>
                <w:rFonts w:cs="Arial"/>
                <w:b/>
                <w:sz w:val="20"/>
                <w:szCs w:val="20"/>
              </w:rPr>
              <w:t>to those listed above.</w:t>
            </w:r>
          </w:p>
          <w:p w:rsidR="009F4A5D" w:rsidRPr="000A6312" w:rsidRDefault="009F4A5D" w:rsidP="001707FF">
            <w:pPr>
              <w:ind w:left="0" w:firstLine="0"/>
              <w:rPr>
                <w:rFonts w:cs="Arial"/>
                <w:b/>
                <w:sz w:val="20"/>
                <w:szCs w:val="20"/>
              </w:rPr>
            </w:pPr>
          </w:p>
        </w:tc>
        <w:tc>
          <w:tcPr>
            <w:tcW w:w="5553" w:type="dxa"/>
          </w:tcPr>
          <w:p w:rsidR="009F4A5D" w:rsidRPr="000A6312" w:rsidRDefault="009F4A5D" w:rsidP="009F4A5D">
            <w:pPr>
              <w:rPr>
                <w:rFonts w:cs="Arial"/>
                <w:sz w:val="20"/>
                <w:szCs w:val="20"/>
              </w:rPr>
            </w:pPr>
            <w:r w:rsidRPr="000A6312">
              <w:rPr>
                <w:rFonts w:cs="Arial"/>
                <w:sz w:val="20"/>
                <w:szCs w:val="20"/>
              </w:rPr>
              <w:t xml:space="preserve">Please note: Currently there is no evidence to suggest </w:t>
            </w:r>
          </w:p>
          <w:p w:rsidR="000A6312" w:rsidRDefault="009F4A5D" w:rsidP="009F4A5D">
            <w:pPr>
              <w:rPr>
                <w:rFonts w:cs="Arial"/>
                <w:sz w:val="20"/>
                <w:szCs w:val="20"/>
              </w:rPr>
            </w:pPr>
            <w:r w:rsidRPr="000A6312">
              <w:rPr>
                <w:rFonts w:cs="Arial"/>
                <w:sz w:val="20"/>
                <w:szCs w:val="20"/>
              </w:rPr>
              <w:t xml:space="preserve">that Vitamin D confers specific protection towards COVID </w:t>
            </w:r>
            <w:r w:rsidR="000A6312">
              <w:rPr>
                <w:rFonts w:cs="Arial"/>
                <w:sz w:val="20"/>
                <w:szCs w:val="20"/>
              </w:rPr>
              <w:t>–</w:t>
            </w:r>
          </w:p>
          <w:p w:rsidR="000A6312" w:rsidRDefault="009F4A5D" w:rsidP="009F4A5D">
            <w:pPr>
              <w:rPr>
                <w:rFonts w:cs="Arial"/>
                <w:sz w:val="20"/>
                <w:szCs w:val="20"/>
              </w:rPr>
            </w:pPr>
            <w:r w:rsidRPr="000A6312">
              <w:rPr>
                <w:rFonts w:cs="Arial"/>
                <w:sz w:val="20"/>
                <w:szCs w:val="20"/>
              </w:rPr>
              <w:t xml:space="preserve">19 or prevents respiratory complications of COVID-19. Low </w:t>
            </w:r>
          </w:p>
          <w:p w:rsidR="009F4A5D" w:rsidRPr="000A6312" w:rsidRDefault="009F4A5D" w:rsidP="009F4A5D">
            <w:pPr>
              <w:rPr>
                <w:rFonts w:cs="Arial"/>
                <w:sz w:val="20"/>
                <w:szCs w:val="20"/>
              </w:rPr>
            </w:pPr>
            <w:r w:rsidRPr="000A6312">
              <w:rPr>
                <w:rFonts w:cs="Arial"/>
                <w:sz w:val="20"/>
                <w:szCs w:val="20"/>
              </w:rPr>
              <w:t>levels of Vitamin D may predispose to severe infections.</w:t>
            </w:r>
          </w:p>
          <w:p w:rsidR="009F4A5D" w:rsidRPr="000A6312" w:rsidRDefault="009F4A5D" w:rsidP="009F4A5D">
            <w:pPr>
              <w:rPr>
                <w:rFonts w:cs="Arial"/>
                <w:sz w:val="20"/>
                <w:szCs w:val="20"/>
              </w:rPr>
            </w:pPr>
          </w:p>
          <w:p w:rsidR="000A6312" w:rsidRDefault="009F4A5D" w:rsidP="000A6312">
            <w:pPr>
              <w:rPr>
                <w:rFonts w:cs="Arial"/>
                <w:sz w:val="20"/>
                <w:szCs w:val="20"/>
              </w:rPr>
            </w:pPr>
            <w:r w:rsidRPr="000A6312">
              <w:rPr>
                <w:rFonts w:cs="Arial"/>
                <w:sz w:val="20"/>
                <w:szCs w:val="20"/>
              </w:rPr>
              <w:t xml:space="preserve">BAME staff may be over-represented in those with lower </w:t>
            </w:r>
          </w:p>
          <w:p w:rsidR="009F4A5D" w:rsidRPr="000A6312" w:rsidRDefault="009F4A5D" w:rsidP="00FD26A8">
            <w:pPr>
              <w:rPr>
                <w:rFonts w:cs="Arial"/>
                <w:sz w:val="20"/>
                <w:szCs w:val="20"/>
              </w:rPr>
            </w:pPr>
            <w:r w:rsidRPr="000A6312">
              <w:rPr>
                <w:rFonts w:cs="Arial"/>
                <w:sz w:val="20"/>
                <w:szCs w:val="20"/>
              </w:rPr>
              <w:t>Vitamin D levels in the population.</w:t>
            </w:r>
            <w:r w:rsidRPr="000A6312">
              <w:rPr>
                <w:rFonts w:cs="Arial"/>
                <w:sz w:val="20"/>
                <w:szCs w:val="20"/>
                <w:vertAlign w:val="superscript"/>
              </w:rPr>
              <w:t>1</w:t>
            </w:r>
          </w:p>
        </w:tc>
        <w:tc>
          <w:tcPr>
            <w:tcW w:w="5561" w:type="dxa"/>
          </w:tcPr>
          <w:p w:rsidR="009F4A5D" w:rsidRPr="000A6312" w:rsidRDefault="009F4A5D" w:rsidP="00344458">
            <w:pPr>
              <w:ind w:left="0" w:firstLine="0"/>
              <w:rPr>
                <w:rFonts w:cs="Arial"/>
                <w:sz w:val="20"/>
                <w:szCs w:val="20"/>
              </w:rPr>
            </w:pPr>
          </w:p>
        </w:tc>
      </w:tr>
      <w:tr w:rsidR="009F4A5D" w:rsidRPr="000A6312" w:rsidTr="009F4A5D">
        <w:tc>
          <w:tcPr>
            <w:tcW w:w="3060" w:type="dxa"/>
          </w:tcPr>
          <w:p w:rsidR="009F4A5D" w:rsidRPr="000A6312" w:rsidRDefault="009F4A5D" w:rsidP="00344458">
            <w:pPr>
              <w:ind w:left="0" w:firstLine="0"/>
              <w:rPr>
                <w:rFonts w:cs="Arial"/>
                <w:b/>
                <w:sz w:val="20"/>
                <w:szCs w:val="20"/>
              </w:rPr>
            </w:pPr>
            <w:r w:rsidRPr="000A6312">
              <w:rPr>
                <w:rFonts w:cs="Arial"/>
                <w:b/>
                <w:sz w:val="20"/>
                <w:szCs w:val="20"/>
              </w:rPr>
              <w:t xml:space="preserve">How can your work environment support your psychological wellbeing? </w:t>
            </w:r>
          </w:p>
          <w:p w:rsidR="009F4A5D" w:rsidRPr="000A6312" w:rsidRDefault="009F4A5D" w:rsidP="00344458">
            <w:pPr>
              <w:ind w:left="0" w:firstLine="0"/>
              <w:rPr>
                <w:rFonts w:cs="Arial"/>
                <w:b/>
                <w:sz w:val="20"/>
                <w:szCs w:val="20"/>
              </w:rPr>
            </w:pPr>
          </w:p>
          <w:p w:rsidR="009F4A5D" w:rsidRPr="000A6312" w:rsidRDefault="001707FF" w:rsidP="00344458">
            <w:pPr>
              <w:ind w:left="0" w:firstLine="0"/>
              <w:rPr>
                <w:rFonts w:cs="Arial"/>
                <w:b/>
                <w:sz w:val="20"/>
                <w:szCs w:val="20"/>
              </w:rPr>
            </w:pPr>
            <w:r>
              <w:rPr>
                <w:rFonts w:cs="Arial"/>
                <w:b/>
                <w:sz w:val="20"/>
                <w:szCs w:val="20"/>
              </w:rPr>
              <w:t>(b</w:t>
            </w:r>
            <w:r w:rsidR="009F4A5D" w:rsidRPr="000A6312">
              <w:rPr>
                <w:rFonts w:cs="Arial"/>
                <w:b/>
                <w:sz w:val="20"/>
                <w:szCs w:val="20"/>
              </w:rPr>
              <w:t>oth within and out with work)</w:t>
            </w:r>
          </w:p>
          <w:p w:rsidR="009F4A5D" w:rsidRPr="000A6312" w:rsidRDefault="009F4A5D" w:rsidP="00344458">
            <w:pPr>
              <w:rPr>
                <w:rFonts w:cs="Arial"/>
                <w:bCs/>
                <w:sz w:val="20"/>
                <w:szCs w:val="20"/>
              </w:rPr>
            </w:pPr>
          </w:p>
          <w:p w:rsidR="009F4A5D" w:rsidRPr="000A6312" w:rsidRDefault="009F4A5D" w:rsidP="00344458">
            <w:pPr>
              <w:ind w:left="0" w:firstLine="0"/>
              <w:rPr>
                <w:rFonts w:cs="Arial"/>
                <w:b/>
                <w:sz w:val="20"/>
                <w:szCs w:val="20"/>
              </w:rPr>
            </w:pPr>
          </w:p>
        </w:tc>
        <w:tc>
          <w:tcPr>
            <w:tcW w:w="5553" w:type="dxa"/>
            <w:tcBorders>
              <w:bottom w:val="single" w:sz="4" w:space="0" w:color="auto"/>
            </w:tcBorders>
          </w:tcPr>
          <w:p w:rsidR="000A6312" w:rsidRDefault="009F4A5D" w:rsidP="009F4A5D">
            <w:pPr>
              <w:rPr>
                <w:rFonts w:cs="Arial"/>
                <w:bCs/>
                <w:sz w:val="20"/>
                <w:szCs w:val="20"/>
              </w:rPr>
            </w:pPr>
            <w:r w:rsidRPr="000A6312">
              <w:rPr>
                <w:rFonts w:cs="Arial"/>
                <w:bCs/>
                <w:sz w:val="20"/>
                <w:szCs w:val="20"/>
              </w:rPr>
              <w:t>Promote an organisational culture that values</w:t>
            </w:r>
            <w:r w:rsidR="000A6312">
              <w:rPr>
                <w:rFonts w:cs="Arial"/>
                <w:bCs/>
                <w:sz w:val="20"/>
                <w:szCs w:val="20"/>
              </w:rPr>
              <w:t xml:space="preserve"> </w:t>
            </w:r>
            <w:r w:rsidRPr="000A6312">
              <w:rPr>
                <w:rFonts w:cs="Arial"/>
                <w:bCs/>
                <w:sz w:val="20"/>
                <w:szCs w:val="20"/>
              </w:rPr>
              <w:t xml:space="preserve">Psychological </w:t>
            </w:r>
          </w:p>
          <w:p w:rsidR="009F4A5D" w:rsidRPr="000A6312" w:rsidRDefault="009F4A5D" w:rsidP="009F4A5D">
            <w:pPr>
              <w:rPr>
                <w:rFonts w:cs="Arial"/>
                <w:bCs/>
                <w:sz w:val="20"/>
                <w:szCs w:val="20"/>
              </w:rPr>
            </w:pPr>
            <w:r w:rsidRPr="000A6312">
              <w:rPr>
                <w:rFonts w:cs="Arial"/>
                <w:bCs/>
                <w:sz w:val="20"/>
                <w:szCs w:val="20"/>
              </w:rPr>
              <w:t>wellbeing for its staff members.</w:t>
            </w:r>
          </w:p>
          <w:p w:rsidR="009F4A5D" w:rsidRPr="000A6312" w:rsidRDefault="009F4A5D" w:rsidP="009F4A5D">
            <w:pPr>
              <w:rPr>
                <w:rFonts w:cs="Arial"/>
                <w:bCs/>
                <w:sz w:val="20"/>
                <w:szCs w:val="20"/>
              </w:rPr>
            </w:pPr>
          </w:p>
          <w:p w:rsidR="009F4A5D" w:rsidRPr="000A6312" w:rsidRDefault="009F4A5D" w:rsidP="009F4A5D">
            <w:pPr>
              <w:rPr>
                <w:rFonts w:cs="Arial"/>
                <w:bCs/>
                <w:sz w:val="20"/>
                <w:szCs w:val="20"/>
              </w:rPr>
            </w:pPr>
            <w:r w:rsidRPr="000A6312">
              <w:rPr>
                <w:rFonts w:cs="Arial"/>
                <w:bCs/>
                <w:sz w:val="20"/>
                <w:szCs w:val="20"/>
              </w:rPr>
              <w:t>Remind staff of access to range of supports including</w:t>
            </w:r>
          </w:p>
          <w:p w:rsidR="000A6312" w:rsidRDefault="009F4A5D" w:rsidP="000A6312">
            <w:pPr>
              <w:rPr>
                <w:rFonts w:cs="Arial"/>
                <w:bCs/>
                <w:sz w:val="20"/>
                <w:szCs w:val="20"/>
              </w:rPr>
            </w:pPr>
            <w:r w:rsidRPr="000A6312">
              <w:rPr>
                <w:rFonts w:cs="Arial"/>
                <w:bCs/>
                <w:sz w:val="20"/>
                <w:szCs w:val="20"/>
              </w:rPr>
              <w:t>(not exclusive) to own line management/supervision</w:t>
            </w:r>
          </w:p>
          <w:p w:rsidR="000A6312" w:rsidRDefault="009F4A5D" w:rsidP="009F4A5D">
            <w:pPr>
              <w:rPr>
                <w:rFonts w:cs="Arial"/>
                <w:bCs/>
                <w:sz w:val="20"/>
                <w:szCs w:val="20"/>
              </w:rPr>
            </w:pPr>
            <w:r w:rsidRPr="000A6312">
              <w:rPr>
                <w:rFonts w:cs="Arial"/>
                <w:bCs/>
                <w:sz w:val="20"/>
                <w:szCs w:val="20"/>
              </w:rPr>
              <w:t>structures, reflective practice groups, NHS GGC</w:t>
            </w:r>
            <w:r w:rsidR="000A6312">
              <w:rPr>
                <w:rFonts w:cs="Arial"/>
                <w:bCs/>
                <w:sz w:val="20"/>
                <w:szCs w:val="20"/>
              </w:rPr>
              <w:t xml:space="preserve"> </w:t>
            </w:r>
            <w:r w:rsidRPr="000A6312">
              <w:rPr>
                <w:rFonts w:cs="Arial"/>
                <w:bCs/>
                <w:sz w:val="20"/>
                <w:szCs w:val="20"/>
              </w:rPr>
              <w:t xml:space="preserve">COVID-19 </w:t>
            </w:r>
          </w:p>
          <w:p w:rsidR="009F4A5D" w:rsidRPr="000A6312" w:rsidRDefault="009F4A5D" w:rsidP="009F4A5D">
            <w:pPr>
              <w:rPr>
                <w:rFonts w:cs="Arial"/>
                <w:bCs/>
                <w:sz w:val="20"/>
                <w:szCs w:val="20"/>
              </w:rPr>
            </w:pPr>
            <w:r w:rsidRPr="000A6312">
              <w:rPr>
                <w:rFonts w:cs="Arial"/>
                <w:bCs/>
                <w:sz w:val="20"/>
                <w:szCs w:val="20"/>
              </w:rPr>
              <w:t xml:space="preserve">staff support services &amp; BME staff network. </w:t>
            </w:r>
          </w:p>
          <w:p w:rsidR="009F4A5D" w:rsidRPr="000A6312" w:rsidRDefault="009F4A5D" w:rsidP="009F4A5D">
            <w:pPr>
              <w:ind w:left="0" w:firstLine="0"/>
              <w:rPr>
                <w:rFonts w:cs="Arial"/>
                <w:b/>
                <w:sz w:val="20"/>
                <w:szCs w:val="20"/>
              </w:rPr>
            </w:pPr>
          </w:p>
        </w:tc>
        <w:tc>
          <w:tcPr>
            <w:tcW w:w="5561" w:type="dxa"/>
            <w:tcBorders>
              <w:bottom w:val="single" w:sz="4" w:space="0" w:color="auto"/>
            </w:tcBorders>
          </w:tcPr>
          <w:p w:rsidR="009F4A5D" w:rsidRPr="000A6312" w:rsidRDefault="009F4A5D" w:rsidP="00344458">
            <w:pPr>
              <w:ind w:left="0" w:firstLine="0"/>
              <w:rPr>
                <w:rFonts w:cs="Arial"/>
                <w:b/>
                <w:sz w:val="20"/>
                <w:szCs w:val="20"/>
              </w:rPr>
            </w:pPr>
          </w:p>
        </w:tc>
      </w:tr>
    </w:tbl>
    <w:p w:rsidR="00242F5E" w:rsidRPr="00242F5E" w:rsidRDefault="00242F5E" w:rsidP="00242F5E">
      <w:pPr>
        <w:pStyle w:val="ListParagraph"/>
        <w:ind w:left="1080" w:firstLine="0"/>
        <w:rPr>
          <w:rFonts w:cs="Arial"/>
          <w:sz w:val="20"/>
          <w:szCs w:val="20"/>
        </w:rPr>
      </w:pPr>
    </w:p>
    <w:p w:rsidR="00681375" w:rsidRPr="000A6312" w:rsidRDefault="00E81063" w:rsidP="001707FF">
      <w:pPr>
        <w:pStyle w:val="ListParagraph"/>
        <w:numPr>
          <w:ilvl w:val="0"/>
          <w:numId w:val="13"/>
        </w:numPr>
        <w:ind w:left="360"/>
        <w:rPr>
          <w:rFonts w:cs="Arial"/>
          <w:sz w:val="20"/>
          <w:szCs w:val="20"/>
        </w:rPr>
      </w:pPr>
      <w:hyperlink r:id="rId9" w:history="1">
        <w:r w:rsidR="00242F5E">
          <w:rPr>
            <w:rStyle w:val="Hyperlink"/>
            <w:sz w:val="16"/>
            <w:szCs w:val="16"/>
          </w:rPr>
          <w:t>https://www.rcpsych.ac.uk/docs/default-source/about-us/covid-19/impact-of-covid19-on-bame-staff-in-mental-healthcare-settings_assessment-and-management-of-risk_13052020v2.pdf?sfvrsn=1068965_2</w:t>
        </w:r>
      </w:hyperlink>
    </w:p>
    <w:p w:rsidR="00681375" w:rsidRDefault="00681375" w:rsidP="00E20143">
      <w:pPr>
        <w:ind w:left="720" w:firstLine="0"/>
        <w:rPr>
          <w:b/>
          <w:sz w:val="20"/>
          <w:szCs w:val="20"/>
        </w:rPr>
      </w:pPr>
    </w:p>
    <w:p w:rsidR="00681375" w:rsidRPr="009F513E" w:rsidRDefault="00681375" w:rsidP="009F513E">
      <w:pPr>
        <w:numPr>
          <w:ilvl w:val="0"/>
          <w:numId w:val="4"/>
        </w:numPr>
        <w:ind w:hanging="720"/>
        <w:rPr>
          <w:b/>
          <w:sz w:val="20"/>
          <w:szCs w:val="20"/>
        </w:rPr>
      </w:pPr>
      <w:r w:rsidRPr="009F513E">
        <w:rPr>
          <w:b/>
          <w:sz w:val="20"/>
          <w:szCs w:val="20"/>
        </w:rPr>
        <w:t>Those who are pregnant</w:t>
      </w:r>
    </w:p>
    <w:p w:rsidR="00681375" w:rsidRDefault="00681375" w:rsidP="009F513E">
      <w:pPr>
        <w:rPr>
          <w:sz w:val="20"/>
          <w:szCs w:val="20"/>
        </w:rPr>
      </w:pPr>
    </w:p>
    <w:p w:rsidR="00681375" w:rsidRPr="002101D5" w:rsidRDefault="00681375" w:rsidP="00D4079A">
      <w:pPr>
        <w:autoSpaceDE w:val="0"/>
        <w:autoSpaceDN w:val="0"/>
        <w:adjustRightInd w:val="0"/>
        <w:ind w:left="0" w:firstLine="0"/>
        <w:rPr>
          <w:sz w:val="20"/>
          <w:szCs w:val="20"/>
        </w:rPr>
      </w:pPr>
      <w:r w:rsidRPr="002101D5">
        <w:rPr>
          <w:rFonts w:cs="Arial"/>
          <w:color w:val="000000"/>
          <w:sz w:val="20"/>
          <w:szCs w:val="20"/>
          <w:lang w:eastAsia="en-GB"/>
        </w:rPr>
        <w:t xml:space="preserve">The Royal College of Obstetrics and Gynaecology provides guidance on what health care workers should do if they are pregnant. </w:t>
      </w:r>
      <w:r w:rsidRPr="002101D5">
        <w:rPr>
          <w:sz w:val="20"/>
          <w:szCs w:val="20"/>
        </w:rPr>
        <w:t xml:space="preserve">The central aspect of this protection is based on risk assessment of each individual pregnant worker’s working environment and the role they play. </w:t>
      </w:r>
    </w:p>
    <w:p w:rsidR="00681375" w:rsidRPr="002101D5" w:rsidRDefault="00681375" w:rsidP="00D4079A">
      <w:pPr>
        <w:autoSpaceDE w:val="0"/>
        <w:autoSpaceDN w:val="0"/>
        <w:adjustRightInd w:val="0"/>
        <w:ind w:left="0" w:firstLine="0"/>
        <w:rPr>
          <w:sz w:val="20"/>
          <w:szCs w:val="20"/>
        </w:rPr>
      </w:pPr>
    </w:p>
    <w:p w:rsidR="00681375" w:rsidRPr="002101D5" w:rsidRDefault="00681375" w:rsidP="00D4079A">
      <w:pPr>
        <w:autoSpaceDE w:val="0"/>
        <w:autoSpaceDN w:val="0"/>
        <w:adjustRightInd w:val="0"/>
        <w:ind w:left="0" w:firstLine="0"/>
        <w:rPr>
          <w:sz w:val="20"/>
          <w:szCs w:val="20"/>
        </w:rPr>
      </w:pPr>
      <w:r w:rsidRPr="002101D5">
        <w:rPr>
          <w:sz w:val="20"/>
          <w:szCs w:val="20"/>
        </w:rPr>
        <w:t>The recommendations, summarised below, have been made by the RCOG, the Royal College of Midwives and the Faculty of Occupational Medicine to assist pregnant healthcare workers, line managers, and occupational health teams in conducting this risk assessment:</w:t>
      </w:r>
    </w:p>
    <w:p w:rsidR="00681375" w:rsidRDefault="00681375" w:rsidP="00F1135B">
      <w:pPr>
        <w:pStyle w:val="Default"/>
        <w:rPr>
          <w:sz w:val="20"/>
          <w:szCs w:val="20"/>
        </w:rPr>
      </w:pPr>
    </w:p>
    <w:p w:rsidR="00681375" w:rsidRDefault="00681375" w:rsidP="00F1135B">
      <w:pPr>
        <w:pStyle w:val="Default"/>
        <w:rPr>
          <w:sz w:val="20"/>
          <w:szCs w:val="20"/>
        </w:rPr>
      </w:pPr>
      <w:r w:rsidRPr="002101D5">
        <w:rPr>
          <w:sz w:val="20"/>
          <w:szCs w:val="20"/>
        </w:rPr>
        <w:t>Every pregnant worker should have a risk assessment with their manager, which may involve occupational health. Employers should modify the working environment to limit contact with suspected or confirmed COVID-19 patients to minimise the risk of</w:t>
      </w:r>
      <w:r>
        <w:rPr>
          <w:sz w:val="20"/>
          <w:szCs w:val="20"/>
        </w:rPr>
        <w:t xml:space="preserve"> infection as far as possible.</w:t>
      </w:r>
    </w:p>
    <w:p w:rsidR="00681375" w:rsidRDefault="00681375" w:rsidP="00F1135B">
      <w:pPr>
        <w:pStyle w:val="Default"/>
        <w:rPr>
          <w:i/>
          <w:iCs/>
          <w:sz w:val="20"/>
          <w:szCs w:val="20"/>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7560"/>
        <w:gridCol w:w="900"/>
        <w:gridCol w:w="3510"/>
      </w:tblGrid>
      <w:tr w:rsidR="00681375" w:rsidRPr="00487411" w:rsidTr="003C700E">
        <w:trPr>
          <w:trHeight w:val="288"/>
          <w:tblHeader/>
        </w:trPr>
        <w:tc>
          <w:tcPr>
            <w:tcW w:w="1980" w:type="dxa"/>
            <w:vAlign w:val="center"/>
          </w:tcPr>
          <w:p w:rsidR="00681375" w:rsidRPr="00487411" w:rsidRDefault="00681375" w:rsidP="00A2348C">
            <w:pPr>
              <w:shd w:val="clear" w:color="auto" w:fill="FFFFFF"/>
              <w:ind w:left="0" w:firstLine="0"/>
              <w:rPr>
                <w:rFonts w:cs="Arial"/>
                <w:b/>
                <w:sz w:val="20"/>
                <w:szCs w:val="20"/>
                <w:lang w:eastAsia="en-GB"/>
              </w:rPr>
            </w:pPr>
            <w:r w:rsidRPr="00487411">
              <w:rPr>
                <w:rFonts w:cs="Arial"/>
                <w:b/>
                <w:sz w:val="20"/>
                <w:szCs w:val="20"/>
                <w:lang w:eastAsia="en-GB"/>
              </w:rPr>
              <w:lastRenderedPageBreak/>
              <w:t>Gestation Period</w:t>
            </w:r>
          </w:p>
        </w:tc>
        <w:tc>
          <w:tcPr>
            <w:tcW w:w="7560" w:type="dxa"/>
            <w:vAlign w:val="center"/>
          </w:tcPr>
          <w:p w:rsidR="00681375" w:rsidRPr="00487411" w:rsidRDefault="00681375" w:rsidP="00A2348C">
            <w:pPr>
              <w:shd w:val="clear" w:color="auto" w:fill="FFFFFF"/>
              <w:ind w:left="0" w:firstLine="0"/>
              <w:rPr>
                <w:rFonts w:cs="Arial"/>
                <w:b/>
                <w:bCs/>
                <w:sz w:val="20"/>
                <w:szCs w:val="20"/>
                <w:lang w:eastAsia="en-GB"/>
              </w:rPr>
            </w:pPr>
            <w:r w:rsidRPr="00487411">
              <w:rPr>
                <w:rFonts w:cs="Arial"/>
                <w:b/>
                <w:bCs/>
                <w:sz w:val="20"/>
                <w:szCs w:val="20"/>
                <w:lang w:eastAsia="en-GB"/>
              </w:rPr>
              <w:t>Advice</w:t>
            </w:r>
          </w:p>
        </w:tc>
        <w:tc>
          <w:tcPr>
            <w:tcW w:w="900" w:type="dxa"/>
            <w:vAlign w:val="center"/>
          </w:tcPr>
          <w:p w:rsidR="00681375" w:rsidRPr="00487411" w:rsidRDefault="00681375" w:rsidP="00A2348C">
            <w:pPr>
              <w:shd w:val="clear" w:color="auto" w:fill="FFFFFF"/>
              <w:ind w:left="0" w:firstLine="0"/>
              <w:rPr>
                <w:rFonts w:cs="Arial"/>
                <w:b/>
                <w:bCs/>
                <w:sz w:val="20"/>
                <w:szCs w:val="20"/>
                <w:lang w:eastAsia="en-GB"/>
              </w:rPr>
            </w:pPr>
            <w:r w:rsidRPr="00487411">
              <w:rPr>
                <w:rFonts w:cs="Arial"/>
                <w:b/>
                <w:bCs/>
                <w:sz w:val="20"/>
                <w:szCs w:val="20"/>
                <w:lang w:eastAsia="en-GB"/>
              </w:rPr>
              <w:t>Yes/No</w:t>
            </w:r>
          </w:p>
        </w:tc>
        <w:tc>
          <w:tcPr>
            <w:tcW w:w="3510" w:type="dxa"/>
            <w:vAlign w:val="center"/>
          </w:tcPr>
          <w:p w:rsidR="00681375" w:rsidRPr="00487411" w:rsidRDefault="00681375" w:rsidP="00A2348C">
            <w:pPr>
              <w:shd w:val="clear" w:color="auto" w:fill="FFFFFF"/>
              <w:ind w:left="0" w:firstLine="0"/>
              <w:rPr>
                <w:rFonts w:cs="Arial"/>
                <w:b/>
                <w:bCs/>
                <w:sz w:val="20"/>
                <w:szCs w:val="20"/>
                <w:lang w:eastAsia="en-GB"/>
              </w:rPr>
            </w:pPr>
            <w:r w:rsidRPr="00487411">
              <w:rPr>
                <w:rFonts w:cs="Arial"/>
                <w:b/>
                <w:bCs/>
                <w:sz w:val="20"/>
                <w:szCs w:val="20"/>
                <w:lang w:eastAsia="en-GB"/>
              </w:rPr>
              <w:t>Comments</w:t>
            </w:r>
          </w:p>
        </w:tc>
      </w:tr>
      <w:tr w:rsidR="00681375" w:rsidRPr="00487411" w:rsidTr="00F1135B">
        <w:trPr>
          <w:trHeight w:val="20"/>
        </w:trPr>
        <w:tc>
          <w:tcPr>
            <w:tcW w:w="1980" w:type="dxa"/>
          </w:tcPr>
          <w:p w:rsidR="00681375" w:rsidRPr="00487411" w:rsidRDefault="00681375" w:rsidP="00026F11">
            <w:pPr>
              <w:shd w:val="clear" w:color="auto" w:fill="FFFFFF"/>
              <w:ind w:left="0" w:firstLine="0"/>
              <w:rPr>
                <w:rFonts w:cs="Arial"/>
                <w:sz w:val="20"/>
                <w:szCs w:val="20"/>
                <w:lang w:eastAsia="en-GB"/>
              </w:rPr>
            </w:pPr>
            <w:r w:rsidRPr="00487411">
              <w:rPr>
                <w:rFonts w:cs="Arial"/>
                <w:sz w:val="20"/>
                <w:szCs w:val="20"/>
                <w:lang w:eastAsia="en-GB"/>
              </w:rPr>
              <w:t>Up to 28 Weeks</w:t>
            </w:r>
          </w:p>
        </w:tc>
        <w:tc>
          <w:tcPr>
            <w:tcW w:w="7560" w:type="dxa"/>
          </w:tcPr>
          <w:p w:rsidR="00681375" w:rsidRPr="002101D5" w:rsidRDefault="00681375" w:rsidP="00B12611">
            <w:pPr>
              <w:autoSpaceDE w:val="0"/>
              <w:autoSpaceDN w:val="0"/>
              <w:adjustRightInd w:val="0"/>
              <w:ind w:left="0" w:firstLine="0"/>
              <w:rPr>
                <w:sz w:val="20"/>
                <w:szCs w:val="20"/>
              </w:rPr>
            </w:pPr>
            <w:r w:rsidRPr="002101D5">
              <w:rPr>
                <w:sz w:val="20"/>
                <w:szCs w:val="20"/>
              </w:rPr>
              <w:t>In the light of the limited evidence, pregnant women can only continue to work in direct patient-facing roles if they are under 28 weeks’ gestation and if this follows a risk assessment that recommends they can continue working, subject to modification of the working environment and deployment to suitable alternative duties. Pregnant women of any gestation should not be required to continue working if this is not supported by the risk assessment, as per the Management of Health and Safety at Work Regulations 1999 (MHSW). If a risk assessment indicates that a pregnant woman under 28 weeks’ gestation can continue to work in a patient facing role, and the woman chooses to do so, she should be supported by her employer.</w:t>
            </w:r>
          </w:p>
          <w:p w:rsidR="00681375" w:rsidRDefault="00681375" w:rsidP="00B12611">
            <w:pPr>
              <w:autoSpaceDE w:val="0"/>
              <w:autoSpaceDN w:val="0"/>
              <w:adjustRightInd w:val="0"/>
              <w:ind w:left="0" w:firstLine="0"/>
              <w:rPr>
                <w:rFonts w:cs="Arial"/>
                <w:color w:val="000000"/>
                <w:sz w:val="20"/>
                <w:szCs w:val="20"/>
                <w:lang w:eastAsia="en-GB"/>
              </w:rPr>
            </w:pPr>
          </w:p>
          <w:p w:rsidR="00681375" w:rsidRDefault="00681375" w:rsidP="00B12611">
            <w:pPr>
              <w:autoSpaceDE w:val="0"/>
              <w:autoSpaceDN w:val="0"/>
              <w:adjustRightInd w:val="0"/>
              <w:ind w:left="0" w:firstLine="0"/>
              <w:rPr>
                <w:rFonts w:cs="Arial"/>
                <w:color w:val="000000"/>
                <w:sz w:val="20"/>
                <w:szCs w:val="20"/>
                <w:lang w:eastAsia="en-GB"/>
              </w:rPr>
            </w:pPr>
          </w:p>
          <w:p w:rsidR="001707FF" w:rsidRPr="002101D5" w:rsidRDefault="001707FF" w:rsidP="00B12611">
            <w:pPr>
              <w:autoSpaceDE w:val="0"/>
              <w:autoSpaceDN w:val="0"/>
              <w:adjustRightInd w:val="0"/>
              <w:ind w:left="0" w:firstLine="0"/>
              <w:rPr>
                <w:rFonts w:cs="Arial"/>
                <w:color w:val="000000"/>
                <w:sz w:val="20"/>
                <w:szCs w:val="20"/>
                <w:lang w:eastAsia="en-GB"/>
              </w:rPr>
            </w:pPr>
          </w:p>
          <w:p w:rsidR="00681375" w:rsidRPr="002101D5" w:rsidRDefault="00681375" w:rsidP="00B12611">
            <w:pPr>
              <w:autoSpaceDE w:val="0"/>
              <w:autoSpaceDN w:val="0"/>
              <w:adjustRightInd w:val="0"/>
              <w:ind w:left="0" w:firstLine="0"/>
              <w:rPr>
                <w:rFonts w:cs="Arial"/>
                <w:color w:val="000000"/>
                <w:sz w:val="20"/>
                <w:szCs w:val="20"/>
                <w:lang w:eastAsia="en-GB"/>
              </w:rPr>
            </w:pPr>
            <w:r w:rsidRPr="002101D5">
              <w:rPr>
                <w:rFonts w:cs="Arial"/>
                <w:color w:val="000000"/>
                <w:sz w:val="20"/>
                <w:szCs w:val="20"/>
                <w:lang w:eastAsia="en-GB"/>
              </w:rPr>
              <w:t xml:space="preserve">Following a risk assessment with their employer and occupational health, pregnant women should only be supported to continue working if the risk assessment advises that it is safe for them to do so. This means that employers must remove any risks (that are greater in the workplace than to what they would be exposed to outside of the workplace), or else they should be offered suitable alternative work. </w:t>
            </w:r>
          </w:p>
          <w:p w:rsidR="00681375" w:rsidRPr="002101D5" w:rsidRDefault="00681375" w:rsidP="00B12611">
            <w:pPr>
              <w:autoSpaceDE w:val="0"/>
              <w:autoSpaceDN w:val="0"/>
              <w:adjustRightInd w:val="0"/>
              <w:ind w:left="0" w:firstLine="0"/>
              <w:rPr>
                <w:rFonts w:cs="Arial"/>
                <w:color w:val="000000"/>
                <w:sz w:val="20"/>
                <w:szCs w:val="20"/>
                <w:lang w:eastAsia="en-GB"/>
              </w:rPr>
            </w:pPr>
          </w:p>
          <w:p w:rsidR="00681375" w:rsidRPr="00B12611" w:rsidRDefault="00681375" w:rsidP="00B12611">
            <w:pPr>
              <w:autoSpaceDE w:val="0"/>
              <w:autoSpaceDN w:val="0"/>
              <w:adjustRightInd w:val="0"/>
              <w:ind w:left="0" w:firstLine="0"/>
              <w:rPr>
                <w:rFonts w:cs="Arial"/>
                <w:color w:val="000000"/>
                <w:sz w:val="20"/>
                <w:szCs w:val="20"/>
                <w:lang w:eastAsia="en-GB"/>
              </w:rPr>
            </w:pPr>
            <w:r w:rsidRPr="002101D5">
              <w:rPr>
                <w:rFonts w:cs="Arial"/>
                <w:color w:val="000000"/>
                <w:sz w:val="20"/>
                <w:szCs w:val="20"/>
                <w:lang w:eastAsia="en-GB"/>
              </w:rPr>
              <w:t>Some working environments (e.g. operating theatres, respiratory wards and intensive care/high dependency units) carry a higher risk of exposure to the virus for all healthcare staff, including pregnant women, through the greater number of aerosol-generating procedures (AGPs) performed. When caring for suspected or confirmed COVID-19 patients, all healthcare workers in these settings are recommended to use appropriate PPE. Where possible, pregnant women are advised to avoid working in these areas with patients with suspected or</w:t>
            </w:r>
            <w:r>
              <w:rPr>
                <w:rFonts w:cs="Arial"/>
                <w:color w:val="000000"/>
                <w:sz w:val="20"/>
                <w:szCs w:val="20"/>
                <w:lang w:eastAsia="en-GB"/>
              </w:rPr>
              <w:t xml:space="preserve"> confirmed COVID-19 infection. </w:t>
            </w:r>
          </w:p>
        </w:tc>
        <w:tc>
          <w:tcPr>
            <w:tcW w:w="900" w:type="dxa"/>
          </w:tcPr>
          <w:p w:rsidR="00681375" w:rsidRPr="00487411" w:rsidRDefault="00681375" w:rsidP="00026F11">
            <w:pPr>
              <w:shd w:val="clear" w:color="auto" w:fill="FFFFFF"/>
              <w:ind w:left="0" w:firstLine="0"/>
              <w:rPr>
                <w:rFonts w:cs="Arial"/>
                <w:sz w:val="20"/>
                <w:szCs w:val="20"/>
                <w:lang w:eastAsia="en-GB"/>
              </w:rPr>
            </w:pPr>
          </w:p>
        </w:tc>
        <w:tc>
          <w:tcPr>
            <w:tcW w:w="3510" w:type="dxa"/>
          </w:tcPr>
          <w:p w:rsidR="00681375" w:rsidRPr="00487411" w:rsidRDefault="00681375" w:rsidP="00026F11">
            <w:pPr>
              <w:shd w:val="clear" w:color="auto" w:fill="FFFFFF"/>
              <w:ind w:left="0" w:firstLine="0"/>
              <w:rPr>
                <w:rFonts w:cs="Arial"/>
                <w:sz w:val="20"/>
                <w:szCs w:val="20"/>
                <w:lang w:eastAsia="en-GB"/>
              </w:rPr>
            </w:pPr>
          </w:p>
        </w:tc>
      </w:tr>
      <w:tr w:rsidR="00681375" w:rsidRPr="00487411" w:rsidTr="00F1135B">
        <w:trPr>
          <w:trHeight w:val="20"/>
        </w:trPr>
        <w:tc>
          <w:tcPr>
            <w:tcW w:w="1980" w:type="dxa"/>
          </w:tcPr>
          <w:p w:rsidR="00681375" w:rsidRPr="00487411" w:rsidRDefault="00681375" w:rsidP="00026F11">
            <w:pPr>
              <w:shd w:val="clear" w:color="auto" w:fill="FFFFFF"/>
              <w:ind w:left="0" w:firstLine="0"/>
              <w:rPr>
                <w:rFonts w:cs="Arial"/>
                <w:sz w:val="20"/>
                <w:szCs w:val="20"/>
                <w:lang w:eastAsia="en-GB"/>
              </w:rPr>
            </w:pPr>
            <w:r w:rsidRPr="00487411">
              <w:rPr>
                <w:rFonts w:cs="Arial"/>
                <w:sz w:val="20"/>
                <w:szCs w:val="20"/>
                <w:lang w:eastAsia="en-GB"/>
              </w:rPr>
              <w:t>After 28 weeks, or with underlying health condition</w:t>
            </w:r>
          </w:p>
        </w:tc>
        <w:tc>
          <w:tcPr>
            <w:tcW w:w="7560" w:type="dxa"/>
          </w:tcPr>
          <w:p w:rsidR="00681375" w:rsidRPr="00F1135B" w:rsidRDefault="00681375" w:rsidP="00F1135B">
            <w:pPr>
              <w:pStyle w:val="Default"/>
              <w:rPr>
                <w:sz w:val="20"/>
                <w:szCs w:val="20"/>
              </w:rPr>
            </w:pPr>
            <w:r w:rsidRPr="00F1135B">
              <w:rPr>
                <w:sz w:val="20"/>
                <w:szCs w:val="20"/>
              </w:rPr>
              <w:t xml:space="preserve">For pregnant women from 28 weeks’ gestation, or with underlying health conditions such as heart or lung disease at any gestation, a more precautionary approach is advised. Women in this category should be recommended to stay at home. </w:t>
            </w:r>
          </w:p>
        </w:tc>
        <w:tc>
          <w:tcPr>
            <w:tcW w:w="900" w:type="dxa"/>
          </w:tcPr>
          <w:p w:rsidR="00681375" w:rsidRPr="00487411" w:rsidRDefault="00681375" w:rsidP="00026F11">
            <w:pPr>
              <w:shd w:val="clear" w:color="auto" w:fill="FFFFFF"/>
              <w:ind w:left="0" w:firstLine="0"/>
              <w:rPr>
                <w:rFonts w:cs="Arial"/>
                <w:sz w:val="20"/>
                <w:szCs w:val="20"/>
                <w:lang w:eastAsia="en-GB"/>
              </w:rPr>
            </w:pPr>
          </w:p>
        </w:tc>
        <w:tc>
          <w:tcPr>
            <w:tcW w:w="3510" w:type="dxa"/>
          </w:tcPr>
          <w:p w:rsidR="00681375" w:rsidRPr="00487411" w:rsidRDefault="00681375" w:rsidP="00026F11">
            <w:pPr>
              <w:shd w:val="clear" w:color="auto" w:fill="FFFFFF"/>
              <w:ind w:left="0" w:firstLine="0"/>
              <w:rPr>
                <w:rFonts w:cs="Arial"/>
                <w:sz w:val="20"/>
                <w:szCs w:val="20"/>
                <w:lang w:eastAsia="en-GB"/>
              </w:rPr>
            </w:pPr>
          </w:p>
        </w:tc>
      </w:tr>
      <w:tr w:rsidR="00681375" w:rsidRPr="00487411" w:rsidTr="00F1135B">
        <w:trPr>
          <w:trHeight w:val="20"/>
        </w:trPr>
        <w:tc>
          <w:tcPr>
            <w:tcW w:w="1980" w:type="dxa"/>
          </w:tcPr>
          <w:p w:rsidR="00681375" w:rsidRPr="00F1135B" w:rsidRDefault="00681375" w:rsidP="00F1135B">
            <w:pPr>
              <w:pStyle w:val="Default"/>
              <w:rPr>
                <w:sz w:val="20"/>
                <w:szCs w:val="20"/>
              </w:rPr>
            </w:pPr>
            <w:r w:rsidRPr="00F1135B">
              <w:rPr>
                <w:iCs/>
                <w:sz w:val="20"/>
                <w:szCs w:val="20"/>
              </w:rPr>
              <w:t xml:space="preserve">New mothers wanting to return to the workforce </w:t>
            </w:r>
          </w:p>
        </w:tc>
        <w:tc>
          <w:tcPr>
            <w:tcW w:w="7560" w:type="dxa"/>
          </w:tcPr>
          <w:p w:rsidR="00681375" w:rsidRPr="00F1135B" w:rsidRDefault="00681375" w:rsidP="00F1135B">
            <w:pPr>
              <w:ind w:left="0" w:firstLine="0"/>
              <w:rPr>
                <w:sz w:val="20"/>
                <w:szCs w:val="20"/>
              </w:rPr>
            </w:pPr>
            <w:r w:rsidRPr="00F1135B">
              <w:rPr>
                <w:sz w:val="20"/>
                <w:szCs w:val="20"/>
              </w:rPr>
              <w:t>Any mother thinking of returning early from maternity leave should be allowed provided she is fit and healthy to work, subject to any employment law restrictions, and following the same infection control and strict hygiene measures.</w:t>
            </w:r>
          </w:p>
        </w:tc>
        <w:tc>
          <w:tcPr>
            <w:tcW w:w="900" w:type="dxa"/>
          </w:tcPr>
          <w:p w:rsidR="00681375" w:rsidRPr="00487411" w:rsidRDefault="00681375" w:rsidP="00026F11">
            <w:pPr>
              <w:shd w:val="clear" w:color="auto" w:fill="FFFFFF"/>
              <w:ind w:left="0" w:firstLine="0"/>
              <w:rPr>
                <w:rFonts w:cs="Arial"/>
                <w:sz w:val="20"/>
                <w:szCs w:val="20"/>
                <w:lang w:eastAsia="en-GB"/>
              </w:rPr>
            </w:pPr>
          </w:p>
        </w:tc>
        <w:tc>
          <w:tcPr>
            <w:tcW w:w="3510" w:type="dxa"/>
          </w:tcPr>
          <w:p w:rsidR="00681375" w:rsidRPr="00487411" w:rsidRDefault="00681375" w:rsidP="00026F11">
            <w:pPr>
              <w:shd w:val="clear" w:color="auto" w:fill="FFFFFF"/>
              <w:ind w:left="0" w:firstLine="0"/>
              <w:rPr>
                <w:rFonts w:cs="Arial"/>
                <w:sz w:val="20"/>
                <w:szCs w:val="20"/>
                <w:lang w:eastAsia="en-GB"/>
              </w:rPr>
            </w:pPr>
          </w:p>
        </w:tc>
      </w:tr>
    </w:tbl>
    <w:p w:rsidR="00681375" w:rsidRDefault="00681375" w:rsidP="009F513E"/>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Default="00681375" w:rsidP="009A76CF">
      <w:pPr>
        <w:jc w:val="right"/>
        <w:rPr>
          <w:rFonts w:cs="Calibri"/>
          <w:b/>
          <w:bCs/>
          <w:sz w:val="20"/>
          <w:szCs w:val="20"/>
        </w:rPr>
      </w:pPr>
      <w:r>
        <w:rPr>
          <w:rFonts w:cs="Calibri"/>
          <w:b/>
          <w:bCs/>
          <w:sz w:val="20"/>
          <w:szCs w:val="20"/>
        </w:rPr>
        <w:br w:type="page"/>
      </w:r>
      <w:r>
        <w:rPr>
          <w:rFonts w:cs="Calibri"/>
          <w:b/>
          <w:bCs/>
          <w:sz w:val="20"/>
          <w:szCs w:val="20"/>
        </w:rPr>
        <w:lastRenderedPageBreak/>
        <w:t xml:space="preserve">Appendix 1 </w:t>
      </w:r>
    </w:p>
    <w:p w:rsidR="00681375" w:rsidRDefault="00681375" w:rsidP="00B12611">
      <w:pPr>
        <w:jc w:val="right"/>
        <w:rPr>
          <w:rFonts w:cs="Calibri"/>
          <w:b/>
          <w:bCs/>
          <w:sz w:val="20"/>
          <w:szCs w:val="20"/>
        </w:rPr>
      </w:pPr>
    </w:p>
    <w:p w:rsidR="00681375" w:rsidRDefault="00681375" w:rsidP="00B12611">
      <w:pPr>
        <w:jc w:val="right"/>
        <w:rPr>
          <w:rFonts w:cs="Calibri"/>
          <w:b/>
          <w:bCs/>
          <w:sz w:val="20"/>
          <w:szCs w:val="20"/>
        </w:rPr>
      </w:pPr>
    </w:p>
    <w:p w:rsidR="00681375" w:rsidRPr="009A76CF" w:rsidRDefault="00681375" w:rsidP="005C0084">
      <w:pPr>
        <w:ind w:left="0" w:firstLine="0"/>
        <w:jc w:val="center"/>
        <w:rPr>
          <w:rFonts w:cs="Arial"/>
          <w:b/>
          <w:bCs/>
          <w:sz w:val="20"/>
          <w:szCs w:val="20"/>
        </w:rPr>
      </w:pPr>
      <w:r>
        <w:rPr>
          <w:rFonts w:cs="Arial"/>
          <w:b/>
          <w:bCs/>
          <w:sz w:val="20"/>
          <w:szCs w:val="20"/>
        </w:rPr>
        <w:t>Risk and Mitigation Consideration</w:t>
      </w:r>
    </w:p>
    <w:p w:rsidR="00681375" w:rsidRDefault="00681375" w:rsidP="009A76CF">
      <w:pPr>
        <w:autoSpaceDE w:val="0"/>
        <w:autoSpaceDN w:val="0"/>
        <w:adjustRightInd w:val="0"/>
        <w:spacing w:after="37"/>
        <w:ind w:left="0" w:firstLine="0"/>
        <w:rPr>
          <w:rFonts w:cs="Arial"/>
          <w:b/>
          <w:bCs/>
          <w:sz w:val="20"/>
          <w:szCs w:val="20"/>
        </w:rPr>
      </w:pPr>
    </w:p>
    <w:p w:rsidR="00681375" w:rsidRPr="009A76CF" w:rsidRDefault="00681375" w:rsidP="009156D4">
      <w:pPr>
        <w:autoSpaceDE w:val="0"/>
        <w:autoSpaceDN w:val="0"/>
        <w:adjustRightInd w:val="0"/>
        <w:spacing w:after="37"/>
        <w:ind w:left="0" w:firstLine="0"/>
        <w:rPr>
          <w:rFonts w:cs="Arial"/>
          <w:color w:val="000000"/>
          <w:sz w:val="20"/>
          <w:szCs w:val="20"/>
          <w:lang w:eastAsia="en-GB"/>
        </w:rPr>
      </w:pPr>
      <w:r w:rsidRPr="009156D4">
        <w:rPr>
          <w:rFonts w:cs="Arial"/>
          <w:bCs/>
          <w:sz w:val="20"/>
          <w:szCs w:val="20"/>
        </w:rPr>
        <w:t xml:space="preserve">This document is to assist in discussion with line manager and member of staff as part of the risk assessment and </w:t>
      </w:r>
      <w:r w:rsidRPr="009156D4">
        <w:rPr>
          <w:rFonts w:cs="Arial"/>
          <w:color w:val="000000"/>
          <w:sz w:val="20"/>
          <w:szCs w:val="20"/>
          <w:lang w:eastAsia="en-GB"/>
        </w:rPr>
        <w:t>intended to facilitate a structured</w:t>
      </w:r>
      <w:r w:rsidRPr="009A76CF">
        <w:rPr>
          <w:rFonts w:cs="Arial"/>
          <w:color w:val="000000"/>
          <w:sz w:val="20"/>
          <w:szCs w:val="20"/>
          <w:lang w:eastAsia="en-GB"/>
        </w:rPr>
        <w:t xml:space="preserve"> one to one conversation with the staff member to seek a pragmatic and safe working arrangement. </w:t>
      </w:r>
    </w:p>
    <w:p w:rsidR="00681375" w:rsidRPr="009A76CF" w:rsidRDefault="00681375" w:rsidP="005C0084">
      <w:pPr>
        <w:ind w:left="0" w:firstLine="0"/>
        <w:jc w:val="center"/>
        <w:rPr>
          <w:rFonts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4509"/>
        <w:gridCol w:w="4524"/>
      </w:tblGrid>
      <w:tr w:rsidR="00681375" w:rsidRPr="009A76CF" w:rsidTr="009156D4">
        <w:tc>
          <w:tcPr>
            <w:tcW w:w="4869" w:type="dxa"/>
          </w:tcPr>
          <w:p w:rsidR="00681375" w:rsidRPr="009A76CF" w:rsidRDefault="00681375" w:rsidP="005C0084">
            <w:pPr>
              <w:ind w:left="0" w:firstLine="0"/>
              <w:jc w:val="center"/>
              <w:rPr>
                <w:rFonts w:cs="Arial"/>
                <w:b/>
                <w:bCs/>
                <w:sz w:val="20"/>
                <w:szCs w:val="20"/>
              </w:rPr>
            </w:pPr>
            <w:r w:rsidRPr="009A76CF">
              <w:rPr>
                <w:rFonts w:cs="Arial"/>
                <w:b/>
                <w:bCs/>
                <w:sz w:val="20"/>
                <w:szCs w:val="20"/>
              </w:rPr>
              <w:t>INTERVENTIONS</w:t>
            </w:r>
          </w:p>
          <w:p w:rsidR="00681375" w:rsidRPr="009A76CF" w:rsidRDefault="00681375" w:rsidP="005C0084">
            <w:pPr>
              <w:ind w:left="0" w:firstLine="0"/>
              <w:jc w:val="center"/>
              <w:rPr>
                <w:rFonts w:cs="Arial"/>
                <w:b/>
                <w:bCs/>
                <w:sz w:val="20"/>
                <w:szCs w:val="20"/>
              </w:rPr>
            </w:pPr>
          </w:p>
        </w:tc>
        <w:tc>
          <w:tcPr>
            <w:tcW w:w="4594" w:type="dxa"/>
          </w:tcPr>
          <w:p w:rsidR="00681375" w:rsidRPr="009A76CF" w:rsidRDefault="00681375" w:rsidP="005C0084">
            <w:pPr>
              <w:ind w:left="0" w:firstLine="0"/>
              <w:jc w:val="center"/>
              <w:rPr>
                <w:rFonts w:cs="Arial"/>
                <w:b/>
                <w:bCs/>
                <w:sz w:val="20"/>
                <w:szCs w:val="20"/>
              </w:rPr>
            </w:pPr>
            <w:r w:rsidRPr="009A76CF">
              <w:rPr>
                <w:rFonts w:cs="Arial"/>
                <w:b/>
                <w:bCs/>
                <w:sz w:val="20"/>
                <w:szCs w:val="20"/>
              </w:rPr>
              <w:t>CURRENT POSITION</w:t>
            </w:r>
          </w:p>
        </w:tc>
        <w:tc>
          <w:tcPr>
            <w:tcW w:w="4603" w:type="dxa"/>
          </w:tcPr>
          <w:p w:rsidR="00681375" w:rsidRPr="009A76CF" w:rsidRDefault="00681375" w:rsidP="005C0084">
            <w:pPr>
              <w:ind w:left="0" w:firstLine="0"/>
              <w:jc w:val="center"/>
              <w:rPr>
                <w:rFonts w:cs="Arial"/>
                <w:b/>
                <w:bCs/>
                <w:sz w:val="20"/>
                <w:szCs w:val="20"/>
              </w:rPr>
            </w:pPr>
            <w:r w:rsidRPr="009A76CF">
              <w:rPr>
                <w:rFonts w:cs="Arial"/>
                <w:b/>
                <w:bCs/>
                <w:sz w:val="20"/>
                <w:szCs w:val="20"/>
              </w:rPr>
              <w:t>ADDITIONAL ACTIONS TO REDUCE RISK</w:t>
            </w:r>
          </w:p>
        </w:tc>
      </w:tr>
      <w:tr w:rsidR="00681375" w:rsidRPr="009A76CF" w:rsidTr="009156D4">
        <w:tc>
          <w:tcPr>
            <w:tcW w:w="4869" w:type="dxa"/>
          </w:tcPr>
          <w:p w:rsidR="00681375" w:rsidRPr="009A76CF" w:rsidRDefault="00681375" w:rsidP="00641DE5">
            <w:pPr>
              <w:pStyle w:val="Default"/>
              <w:rPr>
                <w:sz w:val="20"/>
                <w:szCs w:val="20"/>
              </w:rPr>
            </w:pPr>
            <w:r w:rsidRPr="009A76CF">
              <w:rPr>
                <w:sz w:val="20"/>
                <w:szCs w:val="20"/>
              </w:rPr>
              <w:t xml:space="preserve">Can </w:t>
            </w:r>
            <w:r w:rsidRPr="009A76CF">
              <w:rPr>
                <w:iCs/>
                <w:sz w:val="20"/>
                <w:szCs w:val="20"/>
              </w:rPr>
              <w:t>this</w:t>
            </w:r>
            <w:r w:rsidRPr="009A76CF">
              <w:rPr>
                <w:i/>
                <w:iCs/>
                <w:sz w:val="20"/>
                <w:szCs w:val="20"/>
              </w:rPr>
              <w:t xml:space="preserve"> </w:t>
            </w:r>
            <w:r w:rsidRPr="009A76CF">
              <w:rPr>
                <w:sz w:val="20"/>
                <w:szCs w:val="20"/>
              </w:rPr>
              <w:t xml:space="preserve">work be done at home? </w:t>
            </w:r>
          </w:p>
          <w:p w:rsidR="00681375" w:rsidRDefault="00681375" w:rsidP="005C0084">
            <w:pPr>
              <w:ind w:left="0" w:firstLine="0"/>
              <w:rPr>
                <w:rFonts w:cs="Arial"/>
                <w:b/>
                <w:bCs/>
                <w:sz w:val="20"/>
                <w:szCs w:val="20"/>
              </w:rPr>
            </w:pPr>
          </w:p>
          <w:p w:rsidR="00681375" w:rsidRPr="009A76CF" w:rsidRDefault="00681375" w:rsidP="005C0084">
            <w:pPr>
              <w:ind w:left="0" w:firstLine="0"/>
              <w:rPr>
                <w:rFonts w:cs="Arial"/>
                <w:b/>
                <w:bCs/>
                <w:sz w:val="20"/>
                <w:szCs w:val="20"/>
              </w:rPr>
            </w:pPr>
          </w:p>
        </w:tc>
        <w:tc>
          <w:tcPr>
            <w:tcW w:w="4594" w:type="dxa"/>
          </w:tcPr>
          <w:p w:rsidR="00681375" w:rsidRPr="009A76CF" w:rsidRDefault="00681375" w:rsidP="005C0084">
            <w:pPr>
              <w:ind w:left="0" w:firstLine="0"/>
              <w:jc w:val="right"/>
              <w:rPr>
                <w:rFonts w:cs="Arial"/>
                <w:b/>
                <w:bCs/>
                <w:sz w:val="20"/>
                <w:szCs w:val="20"/>
              </w:rPr>
            </w:pPr>
          </w:p>
        </w:tc>
        <w:tc>
          <w:tcPr>
            <w:tcW w:w="4603" w:type="dxa"/>
          </w:tcPr>
          <w:p w:rsidR="00681375" w:rsidRPr="009A76CF" w:rsidRDefault="00681375" w:rsidP="005C0084">
            <w:pPr>
              <w:ind w:left="0" w:firstLine="0"/>
              <w:jc w:val="right"/>
              <w:rPr>
                <w:rFonts w:cs="Arial"/>
                <w:b/>
                <w:bCs/>
                <w:sz w:val="20"/>
                <w:szCs w:val="20"/>
              </w:rPr>
            </w:pPr>
          </w:p>
        </w:tc>
      </w:tr>
      <w:tr w:rsidR="00681375" w:rsidRPr="009A76CF" w:rsidTr="009156D4">
        <w:tc>
          <w:tcPr>
            <w:tcW w:w="4869" w:type="dxa"/>
          </w:tcPr>
          <w:p w:rsidR="00681375" w:rsidRDefault="00681375" w:rsidP="00641DE5">
            <w:pPr>
              <w:pStyle w:val="Default"/>
              <w:rPr>
                <w:sz w:val="20"/>
                <w:szCs w:val="20"/>
              </w:rPr>
            </w:pPr>
            <w:r w:rsidRPr="009A76CF">
              <w:rPr>
                <w:sz w:val="20"/>
                <w:szCs w:val="20"/>
              </w:rPr>
              <w:t xml:space="preserve">Could </w:t>
            </w:r>
            <w:r w:rsidRPr="009A76CF">
              <w:rPr>
                <w:iCs/>
                <w:sz w:val="20"/>
                <w:szCs w:val="20"/>
              </w:rPr>
              <w:t>alternative</w:t>
            </w:r>
            <w:r w:rsidRPr="009A76CF">
              <w:rPr>
                <w:i/>
                <w:iCs/>
                <w:sz w:val="20"/>
                <w:szCs w:val="20"/>
              </w:rPr>
              <w:t xml:space="preserve"> </w:t>
            </w:r>
            <w:r w:rsidRPr="009A76CF">
              <w:rPr>
                <w:sz w:val="20"/>
                <w:szCs w:val="20"/>
              </w:rPr>
              <w:t>work be undertaken at home or elsewhere in the organisation (reassignment)?</w:t>
            </w:r>
          </w:p>
          <w:p w:rsidR="00681375" w:rsidRPr="009A76CF" w:rsidRDefault="00681375" w:rsidP="00641DE5">
            <w:pPr>
              <w:pStyle w:val="Default"/>
              <w:rPr>
                <w:sz w:val="20"/>
                <w:szCs w:val="20"/>
              </w:rPr>
            </w:pPr>
            <w:r w:rsidRPr="009A76CF">
              <w:rPr>
                <w:sz w:val="20"/>
                <w:szCs w:val="20"/>
              </w:rPr>
              <w:t xml:space="preserve"> </w:t>
            </w:r>
          </w:p>
        </w:tc>
        <w:tc>
          <w:tcPr>
            <w:tcW w:w="4594" w:type="dxa"/>
          </w:tcPr>
          <w:p w:rsidR="00681375" w:rsidRPr="009A76CF" w:rsidRDefault="00681375" w:rsidP="005C0084">
            <w:pPr>
              <w:ind w:left="0" w:firstLine="0"/>
              <w:jc w:val="right"/>
              <w:rPr>
                <w:rFonts w:cs="Arial"/>
                <w:b/>
                <w:bCs/>
                <w:sz w:val="20"/>
                <w:szCs w:val="20"/>
              </w:rPr>
            </w:pPr>
          </w:p>
        </w:tc>
        <w:tc>
          <w:tcPr>
            <w:tcW w:w="4603" w:type="dxa"/>
          </w:tcPr>
          <w:p w:rsidR="00681375" w:rsidRPr="009A76CF" w:rsidRDefault="00681375" w:rsidP="005C0084">
            <w:pPr>
              <w:ind w:left="0" w:firstLine="0"/>
              <w:jc w:val="right"/>
              <w:rPr>
                <w:rFonts w:cs="Arial"/>
                <w:b/>
                <w:bCs/>
                <w:sz w:val="20"/>
                <w:szCs w:val="20"/>
              </w:rPr>
            </w:pPr>
          </w:p>
        </w:tc>
      </w:tr>
      <w:tr w:rsidR="00681375" w:rsidRPr="009A76CF" w:rsidTr="009156D4">
        <w:tc>
          <w:tcPr>
            <w:tcW w:w="4869" w:type="dxa"/>
          </w:tcPr>
          <w:p w:rsidR="00681375" w:rsidRPr="009A76CF" w:rsidRDefault="00681375" w:rsidP="009A76CF">
            <w:pPr>
              <w:autoSpaceDE w:val="0"/>
              <w:autoSpaceDN w:val="0"/>
              <w:adjustRightInd w:val="0"/>
              <w:ind w:left="0" w:firstLine="0"/>
              <w:rPr>
                <w:rFonts w:cs="Arial"/>
                <w:color w:val="000000"/>
                <w:sz w:val="20"/>
                <w:szCs w:val="20"/>
                <w:lang w:eastAsia="en-GB"/>
              </w:rPr>
            </w:pPr>
            <w:r w:rsidRPr="009A76CF">
              <w:rPr>
                <w:rFonts w:cs="Arial"/>
                <w:color w:val="000000"/>
                <w:sz w:val="20"/>
                <w:szCs w:val="20"/>
                <w:lang w:eastAsia="en-GB"/>
              </w:rPr>
              <w:t xml:space="preserve">Can face to face interactions be limited? </w:t>
            </w:r>
          </w:p>
          <w:p w:rsidR="00681375" w:rsidRDefault="00681375" w:rsidP="005C0084">
            <w:pPr>
              <w:ind w:left="0" w:firstLine="0"/>
              <w:rPr>
                <w:rFonts w:cs="Arial"/>
                <w:b/>
                <w:bCs/>
                <w:sz w:val="20"/>
                <w:szCs w:val="20"/>
              </w:rPr>
            </w:pPr>
          </w:p>
          <w:p w:rsidR="00681375" w:rsidRPr="009A76CF" w:rsidRDefault="00681375" w:rsidP="005C0084">
            <w:pPr>
              <w:ind w:left="0" w:firstLine="0"/>
              <w:rPr>
                <w:rFonts w:cs="Arial"/>
                <w:b/>
                <w:bCs/>
                <w:sz w:val="20"/>
                <w:szCs w:val="20"/>
              </w:rPr>
            </w:pPr>
          </w:p>
        </w:tc>
        <w:tc>
          <w:tcPr>
            <w:tcW w:w="4594" w:type="dxa"/>
          </w:tcPr>
          <w:p w:rsidR="00681375" w:rsidRPr="009A76CF" w:rsidRDefault="00681375" w:rsidP="005C0084">
            <w:pPr>
              <w:ind w:left="0" w:firstLine="0"/>
              <w:jc w:val="right"/>
              <w:rPr>
                <w:rFonts w:cs="Arial"/>
                <w:b/>
                <w:bCs/>
                <w:sz w:val="20"/>
                <w:szCs w:val="20"/>
              </w:rPr>
            </w:pPr>
          </w:p>
        </w:tc>
        <w:tc>
          <w:tcPr>
            <w:tcW w:w="4603" w:type="dxa"/>
          </w:tcPr>
          <w:p w:rsidR="00681375" w:rsidRPr="009A76CF" w:rsidRDefault="00681375" w:rsidP="005C0084">
            <w:pPr>
              <w:ind w:left="0" w:firstLine="0"/>
              <w:jc w:val="right"/>
              <w:rPr>
                <w:rFonts w:cs="Arial"/>
                <w:b/>
                <w:bCs/>
                <w:sz w:val="20"/>
                <w:szCs w:val="20"/>
              </w:rPr>
            </w:pPr>
          </w:p>
        </w:tc>
      </w:tr>
      <w:tr w:rsidR="00681375" w:rsidRPr="009A76CF" w:rsidTr="009156D4">
        <w:tc>
          <w:tcPr>
            <w:tcW w:w="4869" w:type="dxa"/>
          </w:tcPr>
          <w:p w:rsidR="00681375" w:rsidRDefault="00681375" w:rsidP="009A76CF">
            <w:pPr>
              <w:pStyle w:val="Default"/>
              <w:rPr>
                <w:sz w:val="20"/>
                <w:szCs w:val="20"/>
              </w:rPr>
            </w:pPr>
            <w:r w:rsidRPr="009A76CF">
              <w:rPr>
                <w:sz w:val="20"/>
                <w:szCs w:val="20"/>
              </w:rPr>
              <w:t xml:space="preserve">PPE (the appropriate PPE for the clinical </w:t>
            </w:r>
            <w:r>
              <w:rPr>
                <w:sz w:val="20"/>
                <w:szCs w:val="20"/>
              </w:rPr>
              <w:t>setting) including FIT testing.</w:t>
            </w:r>
          </w:p>
          <w:p w:rsidR="00681375" w:rsidRPr="009A76CF" w:rsidRDefault="00681375" w:rsidP="009A76CF">
            <w:pPr>
              <w:pStyle w:val="Default"/>
              <w:rPr>
                <w:sz w:val="20"/>
                <w:szCs w:val="20"/>
              </w:rPr>
            </w:pPr>
          </w:p>
        </w:tc>
        <w:tc>
          <w:tcPr>
            <w:tcW w:w="4594" w:type="dxa"/>
          </w:tcPr>
          <w:p w:rsidR="00681375" w:rsidRPr="009A76CF" w:rsidRDefault="00681375" w:rsidP="005C0084">
            <w:pPr>
              <w:ind w:left="0" w:firstLine="0"/>
              <w:jc w:val="right"/>
              <w:rPr>
                <w:rFonts w:cs="Arial"/>
                <w:b/>
                <w:bCs/>
                <w:sz w:val="20"/>
                <w:szCs w:val="20"/>
              </w:rPr>
            </w:pPr>
          </w:p>
        </w:tc>
        <w:tc>
          <w:tcPr>
            <w:tcW w:w="4603" w:type="dxa"/>
          </w:tcPr>
          <w:p w:rsidR="00681375" w:rsidRPr="009A76CF" w:rsidRDefault="00681375" w:rsidP="005C0084">
            <w:pPr>
              <w:ind w:left="0" w:firstLine="0"/>
              <w:jc w:val="right"/>
              <w:rPr>
                <w:rFonts w:cs="Arial"/>
                <w:b/>
                <w:bCs/>
                <w:sz w:val="20"/>
                <w:szCs w:val="20"/>
              </w:rPr>
            </w:pPr>
          </w:p>
        </w:tc>
      </w:tr>
      <w:tr w:rsidR="00681375" w:rsidRPr="009A76CF" w:rsidTr="009156D4">
        <w:tc>
          <w:tcPr>
            <w:tcW w:w="4869" w:type="dxa"/>
          </w:tcPr>
          <w:p w:rsidR="00681375" w:rsidRDefault="00681375" w:rsidP="009A76CF">
            <w:pPr>
              <w:pStyle w:val="Default"/>
              <w:rPr>
                <w:sz w:val="20"/>
                <w:szCs w:val="20"/>
              </w:rPr>
            </w:pPr>
            <w:r w:rsidRPr="009A76CF">
              <w:rPr>
                <w:sz w:val="20"/>
                <w:szCs w:val="20"/>
              </w:rPr>
              <w:t>What arrangements are you going to put in place to ensur</w:t>
            </w:r>
            <w:r>
              <w:rPr>
                <w:sz w:val="20"/>
                <w:szCs w:val="20"/>
              </w:rPr>
              <w:t xml:space="preserve">e regular contact/wellbeing? </w:t>
            </w:r>
          </w:p>
          <w:p w:rsidR="00681375" w:rsidRPr="009A76CF" w:rsidRDefault="00681375" w:rsidP="009A76CF">
            <w:pPr>
              <w:pStyle w:val="Default"/>
              <w:rPr>
                <w:sz w:val="20"/>
                <w:szCs w:val="20"/>
              </w:rPr>
            </w:pPr>
          </w:p>
        </w:tc>
        <w:tc>
          <w:tcPr>
            <w:tcW w:w="4594" w:type="dxa"/>
          </w:tcPr>
          <w:p w:rsidR="00681375" w:rsidRPr="009A76CF" w:rsidRDefault="00681375" w:rsidP="005C0084">
            <w:pPr>
              <w:ind w:left="0" w:firstLine="0"/>
              <w:jc w:val="right"/>
              <w:rPr>
                <w:rFonts w:cs="Arial"/>
                <w:b/>
                <w:bCs/>
                <w:sz w:val="20"/>
                <w:szCs w:val="20"/>
              </w:rPr>
            </w:pPr>
          </w:p>
        </w:tc>
        <w:tc>
          <w:tcPr>
            <w:tcW w:w="4603" w:type="dxa"/>
          </w:tcPr>
          <w:p w:rsidR="00681375" w:rsidRPr="009A76CF" w:rsidRDefault="00681375" w:rsidP="005C0084">
            <w:pPr>
              <w:ind w:left="0" w:firstLine="0"/>
              <w:jc w:val="right"/>
              <w:rPr>
                <w:rFonts w:cs="Arial"/>
                <w:b/>
                <w:bCs/>
                <w:sz w:val="20"/>
                <w:szCs w:val="20"/>
              </w:rPr>
            </w:pPr>
          </w:p>
        </w:tc>
      </w:tr>
      <w:tr w:rsidR="00681375" w:rsidRPr="009A76CF" w:rsidTr="009156D4">
        <w:tc>
          <w:tcPr>
            <w:tcW w:w="4869" w:type="dxa"/>
          </w:tcPr>
          <w:p w:rsidR="00681375" w:rsidRDefault="00681375" w:rsidP="009A76CF">
            <w:pPr>
              <w:ind w:left="0" w:firstLine="0"/>
              <w:rPr>
                <w:sz w:val="20"/>
                <w:szCs w:val="20"/>
              </w:rPr>
            </w:pPr>
            <w:r>
              <w:rPr>
                <w:sz w:val="20"/>
                <w:szCs w:val="20"/>
              </w:rPr>
              <w:t>Referral to Occupational Health, access to counselling and support or W</w:t>
            </w:r>
            <w:r w:rsidRPr="00E20143">
              <w:rPr>
                <w:sz w:val="20"/>
                <w:szCs w:val="20"/>
              </w:rPr>
              <w:t xml:space="preserve">ellbeing support services through the national hub: </w:t>
            </w:r>
            <w:hyperlink r:id="rId10" w:history="1">
              <w:r w:rsidRPr="00E20143">
                <w:rPr>
                  <w:rStyle w:val="Hyperlink"/>
                  <w:color w:val="auto"/>
                  <w:sz w:val="20"/>
                  <w:szCs w:val="20"/>
                </w:rPr>
                <w:t>https://www.promis.scot/</w:t>
              </w:r>
            </w:hyperlink>
          </w:p>
          <w:p w:rsidR="00681375" w:rsidRPr="009A76CF" w:rsidRDefault="00681375" w:rsidP="009A76CF">
            <w:pPr>
              <w:ind w:left="0" w:firstLine="0"/>
            </w:pPr>
          </w:p>
        </w:tc>
        <w:tc>
          <w:tcPr>
            <w:tcW w:w="4594" w:type="dxa"/>
          </w:tcPr>
          <w:p w:rsidR="00681375" w:rsidRPr="009A76CF" w:rsidRDefault="00681375" w:rsidP="005C0084">
            <w:pPr>
              <w:ind w:left="0" w:firstLine="0"/>
              <w:jc w:val="right"/>
              <w:rPr>
                <w:rFonts w:cs="Arial"/>
                <w:b/>
                <w:bCs/>
                <w:sz w:val="20"/>
                <w:szCs w:val="20"/>
              </w:rPr>
            </w:pPr>
          </w:p>
        </w:tc>
        <w:tc>
          <w:tcPr>
            <w:tcW w:w="4603" w:type="dxa"/>
          </w:tcPr>
          <w:p w:rsidR="00681375" w:rsidRPr="009A76CF" w:rsidRDefault="00681375" w:rsidP="005C0084">
            <w:pPr>
              <w:ind w:left="0" w:firstLine="0"/>
              <w:jc w:val="right"/>
              <w:rPr>
                <w:rFonts w:cs="Arial"/>
                <w:b/>
                <w:bCs/>
                <w:sz w:val="20"/>
                <w:szCs w:val="20"/>
              </w:rPr>
            </w:pPr>
          </w:p>
        </w:tc>
      </w:tr>
      <w:tr w:rsidR="00452C6E" w:rsidRPr="009A76CF" w:rsidTr="009156D4">
        <w:tc>
          <w:tcPr>
            <w:tcW w:w="4869" w:type="dxa"/>
          </w:tcPr>
          <w:p w:rsidR="00452C6E" w:rsidRDefault="00452C6E" w:rsidP="00452C6E">
            <w:pPr>
              <w:pStyle w:val="PlainText"/>
              <w:rPr>
                <w:rFonts w:ascii="Arial" w:hAnsi="Arial" w:cs="Arial"/>
                <w:sz w:val="20"/>
                <w:szCs w:val="20"/>
              </w:rPr>
            </w:pPr>
            <w:r>
              <w:rPr>
                <w:rFonts w:ascii="Arial" w:hAnsi="Arial" w:cs="Arial"/>
                <w:sz w:val="20"/>
                <w:szCs w:val="20"/>
              </w:rPr>
              <w:t>I</w:t>
            </w:r>
            <w:r w:rsidRPr="00452C6E">
              <w:rPr>
                <w:rFonts w:ascii="Arial" w:hAnsi="Arial" w:cs="Arial"/>
                <w:sz w:val="20"/>
                <w:szCs w:val="20"/>
              </w:rPr>
              <w:t>s there anything else that would support your physical</w:t>
            </w:r>
            <w:r>
              <w:rPr>
                <w:rFonts w:ascii="Arial" w:hAnsi="Arial" w:cs="Arial"/>
                <w:sz w:val="20"/>
                <w:szCs w:val="20"/>
              </w:rPr>
              <w:t xml:space="preserve"> and psychological well-being?</w:t>
            </w:r>
          </w:p>
          <w:p w:rsidR="00452C6E" w:rsidRPr="00452C6E" w:rsidRDefault="00452C6E" w:rsidP="00452C6E">
            <w:pPr>
              <w:pStyle w:val="PlainText"/>
              <w:rPr>
                <w:rFonts w:ascii="Arial" w:hAnsi="Arial" w:cs="Arial"/>
                <w:sz w:val="20"/>
                <w:szCs w:val="20"/>
              </w:rPr>
            </w:pPr>
          </w:p>
          <w:p w:rsidR="00452C6E" w:rsidRDefault="00452C6E" w:rsidP="009A76CF">
            <w:pPr>
              <w:ind w:left="0" w:firstLine="0"/>
              <w:rPr>
                <w:sz w:val="20"/>
                <w:szCs w:val="20"/>
              </w:rPr>
            </w:pPr>
          </w:p>
        </w:tc>
        <w:tc>
          <w:tcPr>
            <w:tcW w:w="4594" w:type="dxa"/>
          </w:tcPr>
          <w:p w:rsidR="00452C6E" w:rsidRPr="009A76CF" w:rsidRDefault="00452C6E" w:rsidP="005C0084">
            <w:pPr>
              <w:ind w:left="0" w:firstLine="0"/>
              <w:jc w:val="right"/>
              <w:rPr>
                <w:rFonts w:cs="Arial"/>
                <w:b/>
                <w:bCs/>
                <w:sz w:val="20"/>
                <w:szCs w:val="20"/>
              </w:rPr>
            </w:pPr>
          </w:p>
        </w:tc>
        <w:tc>
          <w:tcPr>
            <w:tcW w:w="4603" w:type="dxa"/>
          </w:tcPr>
          <w:p w:rsidR="00452C6E" w:rsidRPr="009A76CF" w:rsidRDefault="00452C6E" w:rsidP="005C0084">
            <w:pPr>
              <w:ind w:left="0" w:firstLine="0"/>
              <w:jc w:val="right"/>
              <w:rPr>
                <w:rFonts w:cs="Arial"/>
                <w:b/>
                <w:bCs/>
                <w:sz w:val="20"/>
                <w:szCs w:val="20"/>
              </w:rPr>
            </w:pPr>
          </w:p>
        </w:tc>
      </w:tr>
      <w:tr w:rsidR="00681375" w:rsidRPr="009A76CF" w:rsidTr="009156D4">
        <w:tc>
          <w:tcPr>
            <w:tcW w:w="4869" w:type="dxa"/>
          </w:tcPr>
          <w:p w:rsidR="00681375" w:rsidRPr="009A76CF" w:rsidRDefault="00681375" w:rsidP="005C0084">
            <w:pPr>
              <w:ind w:left="0" w:firstLine="0"/>
              <w:rPr>
                <w:rFonts w:cs="Arial"/>
                <w:bCs/>
                <w:sz w:val="20"/>
                <w:szCs w:val="20"/>
              </w:rPr>
            </w:pPr>
            <w:r>
              <w:rPr>
                <w:rFonts w:cs="Arial"/>
                <w:bCs/>
                <w:sz w:val="20"/>
                <w:szCs w:val="20"/>
              </w:rPr>
              <w:t>Other Considerations</w:t>
            </w:r>
          </w:p>
          <w:p w:rsidR="00681375" w:rsidRDefault="00681375" w:rsidP="005C0084">
            <w:pPr>
              <w:ind w:left="0" w:firstLine="0"/>
              <w:rPr>
                <w:rFonts w:cs="Arial"/>
                <w:bCs/>
                <w:sz w:val="20"/>
                <w:szCs w:val="20"/>
              </w:rPr>
            </w:pPr>
          </w:p>
          <w:p w:rsidR="00681375" w:rsidRDefault="00681375" w:rsidP="005C0084">
            <w:pPr>
              <w:ind w:left="0" w:firstLine="0"/>
              <w:rPr>
                <w:rFonts w:cs="Arial"/>
                <w:bCs/>
                <w:sz w:val="20"/>
                <w:szCs w:val="20"/>
              </w:rPr>
            </w:pPr>
          </w:p>
          <w:p w:rsidR="00681375" w:rsidRPr="009A76CF" w:rsidRDefault="00681375" w:rsidP="005C0084">
            <w:pPr>
              <w:ind w:left="0" w:firstLine="0"/>
              <w:rPr>
                <w:rFonts w:cs="Arial"/>
                <w:bCs/>
                <w:sz w:val="20"/>
                <w:szCs w:val="20"/>
              </w:rPr>
            </w:pPr>
          </w:p>
        </w:tc>
        <w:tc>
          <w:tcPr>
            <w:tcW w:w="4594" w:type="dxa"/>
          </w:tcPr>
          <w:p w:rsidR="00681375" w:rsidRPr="009A76CF" w:rsidRDefault="00681375" w:rsidP="005C0084">
            <w:pPr>
              <w:ind w:left="0" w:firstLine="0"/>
              <w:rPr>
                <w:rFonts w:cs="Arial"/>
                <w:bCs/>
                <w:sz w:val="20"/>
                <w:szCs w:val="20"/>
              </w:rPr>
            </w:pPr>
          </w:p>
        </w:tc>
        <w:tc>
          <w:tcPr>
            <w:tcW w:w="4603" w:type="dxa"/>
          </w:tcPr>
          <w:p w:rsidR="00681375" w:rsidRPr="009A76CF" w:rsidRDefault="00681375" w:rsidP="005C0084">
            <w:pPr>
              <w:ind w:left="0" w:firstLine="0"/>
              <w:rPr>
                <w:rFonts w:cs="Arial"/>
                <w:bCs/>
                <w:sz w:val="20"/>
                <w:szCs w:val="20"/>
              </w:rPr>
            </w:pPr>
          </w:p>
        </w:tc>
      </w:tr>
    </w:tbl>
    <w:p w:rsidR="00681375" w:rsidRDefault="00681375" w:rsidP="00641DE5">
      <w:pPr>
        <w:rPr>
          <w:rFonts w:cs="Calibri"/>
          <w:bCs/>
          <w:sz w:val="20"/>
          <w:szCs w:val="20"/>
        </w:rPr>
      </w:pPr>
    </w:p>
    <w:p w:rsidR="00681375" w:rsidRPr="00C702E4" w:rsidRDefault="00681375" w:rsidP="009A76CF">
      <w:pPr>
        <w:jc w:val="right"/>
        <w:rPr>
          <w:rFonts w:cs="Calibri"/>
          <w:b/>
          <w:bCs/>
          <w:sz w:val="20"/>
          <w:szCs w:val="20"/>
        </w:rPr>
      </w:pPr>
      <w:r>
        <w:rPr>
          <w:rFonts w:cs="Calibri"/>
          <w:b/>
          <w:bCs/>
          <w:sz w:val="20"/>
          <w:szCs w:val="20"/>
        </w:rPr>
        <w:br w:type="page"/>
      </w:r>
      <w:r>
        <w:rPr>
          <w:rFonts w:cs="Calibri"/>
          <w:b/>
          <w:bCs/>
          <w:sz w:val="20"/>
          <w:szCs w:val="20"/>
        </w:rPr>
        <w:lastRenderedPageBreak/>
        <w:t>Appendix 2</w:t>
      </w:r>
    </w:p>
    <w:p w:rsidR="00681375" w:rsidRPr="00C702E4" w:rsidRDefault="00681375" w:rsidP="00C702E4">
      <w:pPr>
        <w:shd w:val="clear" w:color="auto" w:fill="FFFFFF"/>
        <w:spacing w:before="100" w:beforeAutospacing="1" w:after="100" w:afterAutospacing="1"/>
        <w:outlineLvl w:val="2"/>
        <w:rPr>
          <w:rFonts w:cs="Calibri"/>
          <w:b/>
          <w:bCs/>
          <w:sz w:val="20"/>
          <w:szCs w:val="20"/>
          <w:lang w:eastAsia="en-GB"/>
        </w:rPr>
      </w:pPr>
      <w:r w:rsidRPr="00C702E4">
        <w:rPr>
          <w:rFonts w:cs="Calibri"/>
          <w:b/>
          <w:bCs/>
          <w:sz w:val="20"/>
          <w:szCs w:val="20"/>
          <w:lang w:eastAsia="en-GB"/>
        </w:rPr>
        <w:t>Level of Immunosuppression</w:t>
      </w:r>
    </w:p>
    <w:p w:rsidR="00681375" w:rsidRPr="00C702E4" w:rsidRDefault="00681375" w:rsidP="00C702E4">
      <w:pPr>
        <w:shd w:val="clear" w:color="auto" w:fill="FFFFFF"/>
        <w:ind w:left="0" w:firstLine="0"/>
        <w:rPr>
          <w:rFonts w:cs="Calibri"/>
          <w:sz w:val="20"/>
          <w:szCs w:val="20"/>
          <w:lang w:eastAsia="en-GB"/>
        </w:rPr>
      </w:pPr>
      <w:r w:rsidRPr="00C702E4">
        <w:rPr>
          <w:rFonts w:cs="Calibri"/>
          <w:sz w:val="20"/>
          <w:szCs w:val="20"/>
          <w:lang w:eastAsia="en-GB"/>
        </w:rPr>
        <w:t xml:space="preserve">Assessing the degree of immunosuppression is difficult. The information below is for guidance only. </w:t>
      </w:r>
      <w:r>
        <w:rPr>
          <w:rFonts w:cs="Calibri"/>
          <w:sz w:val="20"/>
          <w:szCs w:val="20"/>
          <w:lang w:eastAsia="en-GB"/>
        </w:rPr>
        <w:t xml:space="preserve"> </w:t>
      </w:r>
      <w:r w:rsidRPr="00C702E4">
        <w:rPr>
          <w:rFonts w:cs="Calibri"/>
          <w:sz w:val="20"/>
          <w:szCs w:val="20"/>
          <w:lang w:eastAsia="en-GB"/>
        </w:rPr>
        <w:t>The infectious Diseases Society of America have defined different levels of immunosuppression:</w:t>
      </w:r>
    </w:p>
    <w:p w:rsidR="00681375" w:rsidRPr="00C702E4" w:rsidRDefault="00681375" w:rsidP="00C702E4">
      <w:pPr>
        <w:shd w:val="clear" w:color="auto" w:fill="FFFFFF"/>
        <w:rPr>
          <w:rFonts w:cs="Calibri"/>
          <w:sz w:val="20"/>
          <w:szCs w:val="20"/>
          <w:lang w:eastAsia="en-GB"/>
        </w:rPr>
      </w:pPr>
    </w:p>
    <w:p w:rsidR="00681375" w:rsidRPr="00C702E4" w:rsidRDefault="00681375" w:rsidP="00C702E4">
      <w:pPr>
        <w:shd w:val="clear" w:color="auto" w:fill="FFFFFF"/>
        <w:rPr>
          <w:rFonts w:cs="Calibri"/>
          <w:b/>
          <w:bCs/>
          <w:sz w:val="20"/>
          <w:szCs w:val="20"/>
          <w:lang w:eastAsia="en-GB"/>
        </w:rPr>
      </w:pPr>
      <w:r w:rsidRPr="00C702E4">
        <w:rPr>
          <w:rFonts w:cs="Calibri"/>
          <w:b/>
          <w:bCs/>
          <w:sz w:val="20"/>
          <w:szCs w:val="20"/>
          <w:lang w:eastAsia="en-GB"/>
        </w:rPr>
        <w:t>High level of immunosuppression is receiving:</w:t>
      </w:r>
    </w:p>
    <w:p w:rsidR="00681375" w:rsidRPr="00C702E4" w:rsidRDefault="00681375" w:rsidP="00C702E4">
      <w:pPr>
        <w:numPr>
          <w:ilvl w:val="0"/>
          <w:numId w:val="6"/>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Chemotherapy.</w:t>
      </w:r>
    </w:p>
    <w:p w:rsidR="00681375" w:rsidRPr="00C702E4" w:rsidRDefault="00681375" w:rsidP="00C702E4">
      <w:pPr>
        <w:numPr>
          <w:ilvl w:val="0"/>
          <w:numId w:val="6"/>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Daily corticosteroid (see below).</w:t>
      </w:r>
    </w:p>
    <w:p w:rsidR="00681375" w:rsidRPr="00C702E4" w:rsidRDefault="00681375" w:rsidP="00C702E4">
      <w:pPr>
        <w:numPr>
          <w:ilvl w:val="0"/>
          <w:numId w:val="6"/>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 xml:space="preserve">Biologics </w:t>
      </w:r>
    </w:p>
    <w:p w:rsidR="00681375" w:rsidRPr="00C702E4" w:rsidRDefault="00681375" w:rsidP="00C702E4">
      <w:pPr>
        <w:numPr>
          <w:ilvl w:val="0"/>
          <w:numId w:val="6"/>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Haematopoetic stem cell transplant.</w:t>
      </w:r>
    </w:p>
    <w:p w:rsidR="00681375" w:rsidRPr="00C702E4" w:rsidRDefault="00681375" w:rsidP="00C702E4">
      <w:pPr>
        <w:shd w:val="clear" w:color="auto" w:fill="FFFFFF"/>
        <w:rPr>
          <w:rFonts w:cs="Calibri"/>
          <w:b/>
          <w:bCs/>
          <w:sz w:val="20"/>
          <w:szCs w:val="20"/>
          <w:lang w:eastAsia="en-GB"/>
        </w:rPr>
      </w:pPr>
      <w:r w:rsidRPr="00C702E4">
        <w:rPr>
          <w:rFonts w:cs="Calibri"/>
          <w:b/>
          <w:bCs/>
          <w:sz w:val="20"/>
          <w:szCs w:val="20"/>
          <w:lang w:eastAsia="en-GB"/>
        </w:rPr>
        <w:t>Low level of immunosuppression is receiving:</w:t>
      </w:r>
    </w:p>
    <w:p w:rsidR="00681375" w:rsidRPr="00C702E4" w:rsidRDefault="00681375" w:rsidP="00C702E4">
      <w:pPr>
        <w:numPr>
          <w:ilvl w:val="0"/>
          <w:numId w:val="7"/>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Low dose corticosteroid (see below).</w:t>
      </w:r>
    </w:p>
    <w:p w:rsidR="00681375" w:rsidRPr="00C702E4" w:rsidRDefault="00681375" w:rsidP="00C702E4">
      <w:pPr>
        <w:numPr>
          <w:ilvl w:val="0"/>
          <w:numId w:val="7"/>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Methotrexate &lt; 0.4mg/kg/week.</w:t>
      </w:r>
    </w:p>
    <w:p w:rsidR="00681375" w:rsidRPr="00C702E4" w:rsidRDefault="00681375" w:rsidP="00C702E4">
      <w:pPr>
        <w:numPr>
          <w:ilvl w:val="0"/>
          <w:numId w:val="7"/>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Azathioprine &lt; 3mg/kg/day.</w:t>
      </w:r>
    </w:p>
    <w:p w:rsidR="00681375" w:rsidRPr="00C702E4" w:rsidRDefault="00681375" w:rsidP="00C702E4">
      <w:pPr>
        <w:numPr>
          <w:ilvl w:val="0"/>
          <w:numId w:val="7"/>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6-mercaptopurine &lt; 1.5mg/kg/day.</w:t>
      </w:r>
    </w:p>
    <w:p w:rsidR="00681375" w:rsidRPr="00C702E4" w:rsidRDefault="00681375" w:rsidP="00C702E4">
      <w:pPr>
        <w:shd w:val="clear" w:color="auto" w:fill="FFFFFF"/>
        <w:spacing w:before="100" w:beforeAutospacing="1" w:after="100" w:afterAutospacing="1"/>
        <w:outlineLvl w:val="2"/>
        <w:rPr>
          <w:rFonts w:cs="Calibri"/>
          <w:b/>
          <w:bCs/>
          <w:sz w:val="20"/>
          <w:szCs w:val="20"/>
          <w:lang w:eastAsia="en-GB"/>
        </w:rPr>
      </w:pPr>
      <w:r w:rsidRPr="00C702E4">
        <w:rPr>
          <w:rFonts w:cs="Calibri"/>
          <w:b/>
          <w:bCs/>
          <w:sz w:val="20"/>
          <w:szCs w:val="20"/>
          <w:lang w:eastAsia="en-GB"/>
        </w:rPr>
        <w:t>Types of Immunosuppressant Drugs</w:t>
      </w:r>
    </w:p>
    <w:p w:rsidR="00681375" w:rsidRPr="00C702E4" w:rsidRDefault="00681375" w:rsidP="00C702E4">
      <w:pPr>
        <w:shd w:val="clear" w:color="auto" w:fill="FFFFFF"/>
        <w:ind w:left="0" w:firstLine="0"/>
        <w:rPr>
          <w:rFonts w:cs="Calibri"/>
          <w:sz w:val="20"/>
          <w:szCs w:val="20"/>
          <w:lang w:eastAsia="en-GB"/>
        </w:rPr>
      </w:pPr>
      <w:r w:rsidRPr="00C702E4">
        <w:rPr>
          <w:rFonts w:cs="Calibri"/>
          <w:sz w:val="20"/>
          <w:szCs w:val="20"/>
          <w:lang w:eastAsia="en-GB"/>
        </w:rPr>
        <w:t>Different Immunosuppressant drugs target different parts of the immune response and hence their effects are variable and additionally are influenced by the underlying disease state.</w:t>
      </w:r>
    </w:p>
    <w:p w:rsidR="00681375" w:rsidRPr="00C702E4" w:rsidRDefault="00681375" w:rsidP="00C702E4">
      <w:pPr>
        <w:shd w:val="clear" w:color="auto" w:fill="FFFFFF"/>
        <w:rPr>
          <w:rFonts w:cs="Calibri"/>
          <w:sz w:val="20"/>
          <w:szCs w:val="20"/>
          <w:lang w:eastAsia="en-GB"/>
        </w:rPr>
      </w:pPr>
    </w:p>
    <w:p w:rsidR="00681375" w:rsidRPr="00C702E4" w:rsidRDefault="00681375" w:rsidP="00C702E4">
      <w:pPr>
        <w:shd w:val="clear" w:color="auto" w:fill="FFFFFF"/>
        <w:rPr>
          <w:rFonts w:cs="Calibri"/>
          <w:sz w:val="20"/>
          <w:szCs w:val="20"/>
          <w:lang w:eastAsia="en-GB"/>
        </w:rPr>
      </w:pPr>
      <w:r w:rsidRPr="00C702E4">
        <w:rPr>
          <w:rFonts w:cs="Calibri"/>
          <w:b/>
          <w:bCs/>
          <w:sz w:val="20"/>
          <w:szCs w:val="20"/>
          <w:lang w:eastAsia="en-GB"/>
        </w:rPr>
        <w:t>Prednisolone</w:t>
      </w:r>
    </w:p>
    <w:p w:rsidR="00681375" w:rsidRPr="00C702E4" w:rsidRDefault="00681375" w:rsidP="00C702E4">
      <w:pPr>
        <w:shd w:val="clear" w:color="auto" w:fill="FFFFFF"/>
        <w:rPr>
          <w:rFonts w:cs="Calibri"/>
          <w:sz w:val="20"/>
          <w:szCs w:val="20"/>
          <w:lang w:eastAsia="en-GB"/>
        </w:rPr>
      </w:pPr>
      <w:r w:rsidRPr="00C702E4">
        <w:rPr>
          <w:rFonts w:cs="Calibri"/>
          <w:sz w:val="20"/>
          <w:szCs w:val="20"/>
          <w:lang w:eastAsia="en-GB"/>
        </w:rPr>
        <w:t>There is no consensus as to what constitutes a low dose of steroid, but in general:</w:t>
      </w:r>
    </w:p>
    <w:p w:rsidR="00681375" w:rsidRPr="00C702E4" w:rsidRDefault="00681375" w:rsidP="00C702E4">
      <w:pPr>
        <w:numPr>
          <w:ilvl w:val="0"/>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Low dose steroid: </w:t>
      </w:r>
    </w:p>
    <w:p w:rsidR="00681375" w:rsidRPr="00C702E4" w:rsidRDefault="00681375" w:rsidP="00C702E4">
      <w:pPr>
        <w:numPr>
          <w:ilvl w:val="1"/>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&lt;20mg prednisolone for &lt;14 days.</w:t>
      </w:r>
    </w:p>
    <w:p w:rsidR="00681375" w:rsidRPr="00C702E4" w:rsidRDefault="00681375" w:rsidP="00C702E4">
      <w:pPr>
        <w:numPr>
          <w:ilvl w:val="1"/>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Alternate day treatment with short-acting steroids.</w:t>
      </w:r>
    </w:p>
    <w:p w:rsidR="00681375" w:rsidRPr="00C702E4" w:rsidRDefault="00681375" w:rsidP="00C702E4">
      <w:pPr>
        <w:numPr>
          <w:ilvl w:val="1"/>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Topical//intraarticular/s</w:t>
      </w:r>
      <w:r>
        <w:rPr>
          <w:rFonts w:cs="Calibri"/>
          <w:sz w:val="20"/>
          <w:szCs w:val="20"/>
          <w:lang w:eastAsia="en-GB"/>
        </w:rPr>
        <w:t>oft tissue injection of steroid</w:t>
      </w:r>
      <w:r w:rsidRPr="00C702E4">
        <w:rPr>
          <w:rFonts w:cs="Calibri"/>
          <w:sz w:val="20"/>
          <w:szCs w:val="20"/>
          <w:lang w:eastAsia="en-GB"/>
        </w:rPr>
        <w:t>.</w:t>
      </w:r>
    </w:p>
    <w:p w:rsidR="00681375" w:rsidRPr="00C702E4" w:rsidRDefault="00681375" w:rsidP="00C702E4">
      <w:pPr>
        <w:numPr>
          <w:ilvl w:val="1"/>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Replacement treatment at physiologic</w:t>
      </w:r>
      <w:r>
        <w:rPr>
          <w:rFonts w:cs="Calibri"/>
          <w:sz w:val="20"/>
          <w:szCs w:val="20"/>
          <w:lang w:eastAsia="en-GB"/>
        </w:rPr>
        <w:t>al doses</w:t>
      </w:r>
      <w:r w:rsidRPr="00C702E4">
        <w:rPr>
          <w:rFonts w:cs="Calibri"/>
          <w:sz w:val="20"/>
          <w:szCs w:val="20"/>
          <w:lang w:eastAsia="en-GB"/>
        </w:rPr>
        <w:t>.</w:t>
      </w:r>
    </w:p>
    <w:p w:rsidR="00681375" w:rsidRPr="00C702E4" w:rsidRDefault="00681375" w:rsidP="00C702E4">
      <w:pPr>
        <w:numPr>
          <w:ilvl w:val="1"/>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lastRenderedPageBreak/>
        <w:t>Long term low dose steroid, &lt;10mg/day prednisolone.</w:t>
      </w:r>
    </w:p>
    <w:p w:rsidR="00681375" w:rsidRPr="00C702E4" w:rsidRDefault="00681375" w:rsidP="00C702E4">
      <w:pPr>
        <w:numPr>
          <w:ilvl w:val="0"/>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High dose steroid: </w:t>
      </w:r>
    </w:p>
    <w:p w:rsidR="00681375" w:rsidRPr="00C702E4" w:rsidRDefault="00681375" w:rsidP="00C702E4">
      <w:pPr>
        <w:numPr>
          <w:ilvl w:val="1"/>
          <w:numId w:val="8"/>
        </w:numPr>
        <w:shd w:val="clear" w:color="auto" w:fill="FFFFFF"/>
        <w:spacing w:before="100" w:beforeAutospacing="1" w:after="100" w:afterAutospacing="1"/>
        <w:rPr>
          <w:rFonts w:cs="Calibri"/>
          <w:sz w:val="20"/>
          <w:szCs w:val="20"/>
          <w:lang w:eastAsia="en-GB"/>
        </w:rPr>
      </w:pPr>
      <w:r w:rsidRPr="00C702E4">
        <w:rPr>
          <w:rFonts w:cs="Calibri"/>
          <w:sz w:val="20"/>
          <w:szCs w:val="20"/>
          <w:lang w:eastAsia="en-GB"/>
        </w:rPr>
        <w:t>A dose of 20mg of prednisolone daily for &gt; 14 days or 40mg daily for &gt; 1 week is considered to cause significant immunosuppression.</w:t>
      </w:r>
    </w:p>
    <w:p w:rsidR="00681375" w:rsidRDefault="00681375"/>
    <w:sectPr w:rsidR="00681375" w:rsidSect="009F4A5D">
      <w:pgSz w:w="16838" w:h="11906" w:orient="landscape"/>
      <w:pgMar w:top="90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186"/>
    <w:multiLevelType w:val="hybridMultilevel"/>
    <w:tmpl w:val="ABF09D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F7CA3"/>
    <w:multiLevelType w:val="hybridMultilevel"/>
    <w:tmpl w:val="BF2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253D8"/>
    <w:multiLevelType w:val="hybridMultilevel"/>
    <w:tmpl w:val="BCB26F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D3DAE"/>
    <w:multiLevelType w:val="hybridMultilevel"/>
    <w:tmpl w:val="B8DA31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DE3825"/>
    <w:multiLevelType w:val="hybridMultilevel"/>
    <w:tmpl w:val="9C087B82"/>
    <w:lvl w:ilvl="0" w:tplc="1EE2499E">
      <w:start w:val="1"/>
      <w:numFmt w:val="decimal"/>
      <w:lvlText w:val="%1."/>
      <w:lvlJc w:val="left"/>
      <w:pPr>
        <w:ind w:left="1080" w:hanging="360"/>
      </w:pPr>
      <w:rPr>
        <w:rFonts w:cs="Times New Roman" w:hint="default"/>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421766"/>
    <w:multiLevelType w:val="multilevel"/>
    <w:tmpl w:val="A9DA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68D1"/>
    <w:multiLevelType w:val="hybridMultilevel"/>
    <w:tmpl w:val="D9FE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25763"/>
    <w:multiLevelType w:val="hybridMultilevel"/>
    <w:tmpl w:val="46D256E8"/>
    <w:lvl w:ilvl="0" w:tplc="39DCFE2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1B51DDC"/>
    <w:multiLevelType w:val="hybridMultilevel"/>
    <w:tmpl w:val="4BF80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0A0A40"/>
    <w:multiLevelType w:val="hybridMultilevel"/>
    <w:tmpl w:val="DA8CDF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B136CEE"/>
    <w:multiLevelType w:val="multilevel"/>
    <w:tmpl w:val="893A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2"/>
  </w:num>
  <w:num w:numId="4">
    <w:abstractNumId w:val="11"/>
  </w:num>
  <w:num w:numId="5">
    <w:abstractNumId w:val="2"/>
  </w:num>
  <w:num w:numId="6">
    <w:abstractNumId w:val="7"/>
  </w:num>
  <w:num w:numId="7">
    <w:abstractNumId w:val="1"/>
  </w:num>
  <w:num w:numId="8">
    <w:abstractNumId w:val="4"/>
  </w:num>
  <w:num w:numId="9">
    <w:abstractNumId w:val="8"/>
  </w:num>
  <w:num w:numId="10">
    <w:abstractNumId w:val="10"/>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1"/>
    <w:rsid w:val="0000185F"/>
    <w:rsid w:val="00026F11"/>
    <w:rsid w:val="00034BA1"/>
    <w:rsid w:val="00065BC3"/>
    <w:rsid w:val="000A6312"/>
    <w:rsid w:val="000D3BFE"/>
    <w:rsid w:val="001354E9"/>
    <w:rsid w:val="00156A1F"/>
    <w:rsid w:val="001707FF"/>
    <w:rsid w:val="001F0945"/>
    <w:rsid w:val="002101D5"/>
    <w:rsid w:val="002304B5"/>
    <w:rsid w:val="00242F5E"/>
    <w:rsid w:val="003152C3"/>
    <w:rsid w:val="00325826"/>
    <w:rsid w:val="003328CE"/>
    <w:rsid w:val="00344458"/>
    <w:rsid w:val="003549C3"/>
    <w:rsid w:val="00367A60"/>
    <w:rsid w:val="003C700E"/>
    <w:rsid w:val="003D2F0F"/>
    <w:rsid w:val="003D3A84"/>
    <w:rsid w:val="003D68DE"/>
    <w:rsid w:val="0042597A"/>
    <w:rsid w:val="0043765F"/>
    <w:rsid w:val="00452C6E"/>
    <w:rsid w:val="00487411"/>
    <w:rsid w:val="004E2E44"/>
    <w:rsid w:val="00514577"/>
    <w:rsid w:val="00565237"/>
    <w:rsid w:val="00566F3F"/>
    <w:rsid w:val="005C0084"/>
    <w:rsid w:val="005E5C8A"/>
    <w:rsid w:val="00641DE5"/>
    <w:rsid w:val="00681375"/>
    <w:rsid w:val="006919C9"/>
    <w:rsid w:val="006A4FCD"/>
    <w:rsid w:val="006D12D8"/>
    <w:rsid w:val="007B2152"/>
    <w:rsid w:val="007B2CF4"/>
    <w:rsid w:val="007B4B70"/>
    <w:rsid w:val="00812571"/>
    <w:rsid w:val="00823C59"/>
    <w:rsid w:val="008D27DB"/>
    <w:rsid w:val="009156D4"/>
    <w:rsid w:val="00925B40"/>
    <w:rsid w:val="00970873"/>
    <w:rsid w:val="009A76CF"/>
    <w:rsid w:val="009F0B1D"/>
    <w:rsid w:val="009F4A5D"/>
    <w:rsid w:val="009F513E"/>
    <w:rsid w:val="00A2348C"/>
    <w:rsid w:val="00A74E3D"/>
    <w:rsid w:val="00A75201"/>
    <w:rsid w:val="00AA428C"/>
    <w:rsid w:val="00AE5568"/>
    <w:rsid w:val="00B12611"/>
    <w:rsid w:val="00B170CA"/>
    <w:rsid w:val="00B7055E"/>
    <w:rsid w:val="00B71467"/>
    <w:rsid w:val="00BB6364"/>
    <w:rsid w:val="00BE40DF"/>
    <w:rsid w:val="00C702E4"/>
    <w:rsid w:val="00C95277"/>
    <w:rsid w:val="00CE38DF"/>
    <w:rsid w:val="00CF5E6E"/>
    <w:rsid w:val="00D172EE"/>
    <w:rsid w:val="00D4079A"/>
    <w:rsid w:val="00D60099"/>
    <w:rsid w:val="00DA562D"/>
    <w:rsid w:val="00DD07D6"/>
    <w:rsid w:val="00DE2566"/>
    <w:rsid w:val="00E20143"/>
    <w:rsid w:val="00E266CE"/>
    <w:rsid w:val="00E439A6"/>
    <w:rsid w:val="00E81063"/>
    <w:rsid w:val="00F1135B"/>
    <w:rsid w:val="00F1521D"/>
    <w:rsid w:val="00F250A3"/>
    <w:rsid w:val="00F274B4"/>
    <w:rsid w:val="00FD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EBF3E4-FAD6-48F8-9161-3E3DE4E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DF"/>
    <w:pPr>
      <w:ind w:left="360" w:hanging="36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5201"/>
    <w:rPr>
      <w:rFonts w:cs="Times New Roman"/>
      <w:color w:val="0000FF"/>
      <w:u w:val="single"/>
    </w:rPr>
  </w:style>
  <w:style w:type="paragraph" w:customStyle="1" w:styleId="Default">
    <w:name w:val="Default"/>
    <w:uiPriority w:val="99"/>
    <w:rsid w:val="00A75201"/>
    <w:pPr>
      <w:autoSpaceDE w:val="0"/>
      <w:autoSpaceDN w:val="0"/>
      <w:adjustRightInd w:val="0"/>
    </w:pPr>
    <w:rPr>
      <w:rFonts w:cs="Arial"/>
      <w:color w:val="000000"/>
      <w:sz w:val="24"/>
      <w:szCs w:val="24"/>
    </w:rPr>
  </w:style>
  <w:style w:type="table" w:styleId="TableGrid">
    <w:name w:val="Table Grid"/>
    <w:basedOn w:val="TableNormal"/>
    <w:uiPriority w:val="99"/>
    <w:rsid w:val="00A752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7411"/>
    <w:pPr>
      <w:spacing w:before="100" w:beforeAutospacing="1" w:after="100" w:afterAutospacing="1"/>
      <w:ind w:left="0" w:firstLine="0"/>
    </w:pPr>
    <w:rPr>
      <w:rFonts w:ascii="Times New Roman" w:eastAsia="Times New Roman" w:hAnsi="Times New Roman"/>
      <w:sz w:val="24"/>
      <w:szCs w:val="24"/>
      <w:lang w:eastAsia="en-GB"/>
    </w:rPr>
  </w:style>
  <w:style w:type="paragraph" w:styleId="ListParagraph">
    <w:name w:val="List Paragraph"/>
    <w:basedOn w:val="Normal"/>
    <w:uiPriority w:val="99"/>
    <w:qFormat/>
    <w:rsid w:val="007B2CF4"/>
    <w:pPr>
      <w:ind w:left="720"/>
    </w:pPr>
  </w:style>
  <w:style w:type="paragraph" w:styleId="BalloonText">
    <w:name w:val="Balloon Text"/>
    <w:basedOn w:val="Normal"/>
    <w:link w:val="BalloonTextChar"/>
    <w:uiPriority w:val="99"/>
    <w:semiHidden/>
    <w:rsid w:val="00AA428C"/>
    <w:rPr>
      <w:rFonts w:ascii="Tahoma" w:hAnsi="Tahoma"/>
      <w:sz w:val="16"/>
      <w:szCs w:val="16"/>
    </w:rPr>
  </w:style>
  <w:style w:type="character" w:customStyle="1" w:styleId="BalloonTextChar">
    <w:name w:val="Balloon Text Char"/>
    <w:basedOn w:val="DefaultParagraphFont"/>
    <w:link w:val="BalloonText"/>
    <w:uiPriority w:val="99"/>
    <w:semiHidden/>
    <w:locked/>
    <w:rsid w:val="00AA428C"/>
    <w:rPr>
      <w:rFonts w:ascii="Tahoma" w:hAnsi="Tahoma"/>
      <w:sz w:val="16"/>
      <w:lang w:eastAsia="en-US"/>
    </w:rPr>
  </w:style>
  <w:style w:type="character" w:styleId="CommentReference">
    <w:name w:val="annotation reference"/>
    <w:basedOn w:val="DefaultParagraphFont"/>
    <w:uiPriority w:val="99"/>
    <w:semiHidden/>
    <w:rsid w:val="00970873"/>
    <w:rPr>
      <w:rFonts w:cs="Times New Roman"/>
      <w:sz w:val="16"/>
      <w:szCs w:val="16"/>
    </w:rPr>
  </w:style>
  <w:style w:type="paragraph" w:styleId="CommentText">
    <w:name w:val="annotation text"/>
    <w:basedOn w:val="Normal"/>
    <w:link w:val="CommentTextChar"/>
    <w:uiPriority w:val="99"/>
    <w:semiHidden/>
    <w:rsid w:val="00970873"/>
    <w:rPr>
      <w:sz w:val="20"/>
      <w:szCs w:val="20"/>
    </w:rPr>
  </w:style>
  <w:style w:type="character" w:customStyle="1" w:styleId="CommentTextChar">
    <w:name w:val="Comment Text Char"/>
    <w:basedOn w:val="DefaultParagraphFont"/>
    <w:link w:val="CommentText"/>
    <w:uiPriority w:val="99"/>
    <w:semiHidden/>
    <w:locked/>
    <w:rsid w:val="00970873"/>
    <w:rPr>
      <w:rFonts w:cs="Times New Roman"/>
      <w:lang w:eastAsia="en-US"/>
    </w:rPr>
  </w:style>
  <w:style w:type="paragraph" w:styleId="CommentSubject">
    <w:name w:val="annotation subject"/>
    <w:basedOn w:val="CommentText"/>
    <w:next w:val="CommentText"/>
    <w:link w:val="CommentSubjectChar"/>
    <w:uiPriority w:val="99"/>
    <w:semiHidden/>
    <w:rsid w:val="00970873"/>
    <w:rPr>
      <w:b/>
      <w:bCs/>
    </w:rPr>
  </w:style>
  <w:style w:type="character" w:customStyle="1" w:styleId="CommentSubjectChar">
    <w:name w:val="Comment Subject Char"/>
    <w:basedOn w:val="CommentTextChar"/>
    <w:link w:val="CommentSubject"/>
    <w:uiPriority w:val="99"/>
    <w:semiHidden/>
    <w:locked/>
    <w:rsid w:val="00970873"/>
    <w:rPr>
      <w:rFonts w:cs="Times New Roman"/>
      <w:b/>
      <w:bCs/>
      <w:lang w:eastAsia="en-US"/>
    </w:rPr>
  </w:style>
  <w:style w:type="paragraph" w:styleId="PlainText">
    <w:name w:val="Plain Text"/>
    <w:basedOn w:val="Normal"/>
    <w:link w:val="PlainTextChar"/>
    <w:uiPriority w:val="99"/>
    <w:semiHidden/>
    <w:unhideWhenUsed/>
    <w:rsid w:val="00452C6E"/>
    <w:pPr>
      <w:ind w:left="0" w:firstLin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452C6E"/>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77019">
      <w:bodyDiv w:val="1"/>
      <w:marLeft w:val="0"/>
      <w:marRight w:val="0"/>
      <w:marTop w:val="0"/>
      <w:marBottom w:val="0"/>
      <w:divBdr>
        <w:top w:val="none" w:sz="0" w:space="0" w:color="auto"/>
        <w:left w:val="none" w:sz="0" w:space="0" w:color="auto"/>
        <w:bottom w:val="none" w:sz="0" w:space="0" w:color="auto"/>
        <w:right w:val="none" w:sz="0" w:space="0" w:color="auto"/>
      </w:divBdr>
    </w:div>
    <w:div w:id="1906186573">
      <w:marLeft w:val="0"/>
      <w:marRight w:val="0"/>
      <w:marTop w:val="0"/>
      <w:marBottom w:val="0"/>
      <w:divBdr>
        <w:top w:val="none" w:sz="0" w:space="0" w:color="auto"/>
        <w:left w:val="none" w:sz="0" w:space="0" w:color="auto"/>
        <w:bottom w:val="none" w:sz="0" w:space="0" w:color="auto"/>
        <w:right w:val="none" w:sz="0" w:space="0" w:color="auto"/>
      </w:divBdr>
      <w:divsChild>
        <w:div w:id="1906186585">
          <w:marLeft w:val="0"/>
          <w:marRight w:val="0"/>
          <w:marTop w:val="0"/>
          <w:marBottom w:val="0"/>
          <w:divBdr>
            <w:top w:val="none" w:sz="0" w:space="0" w:color="auto"/>
            <w:left w:val="none" w:sz="0" w:space="0" w:color="auto"/>
            <w:bottom w:val="none" w:sz="0" w:space="0" w:color="auto"/>
            <w:right w:val="none" w:sz="0" w:space="0" w:color="auto"/>
          </w:divBdr>
          <w:divsChild>
            <w:div w:id="1906186572">
              <w:marLeft w:val="0"/>
              <w:marRight w:val="0"/>
              <w:marTop w:val="0"/>
              <w:marBottom w:val="0"/>
              <w:divBdr>
                <w:top w:val="none" w:sz="0" w:space="0" w:color="auto"/>
                <w:left w:val="none" w:sz="0" w:space="0" w:color="auto"/>
                <w:bottom w:val="none" w:sz="0" w:space="0" w:color="auto"/>
                <w:right w:val="none" w:sz="0" w:space="0" w:color="auto"/>
              </w:divBdr>
              <w:divsChild>
                <w:div w:id="1906186582">
                  <w:marLeft w:val="0"/>
                  <w:marRight w:val="0"/>
                  <w:marTop w:val="0"/>
                  <w:marBottom w:val="0"/>
                  <w:divBdr>
                    <w:top w:val="none" w:sz="0" w:space="0" w:color="auto"/>
                    <w:left w:val="none" w:sz="0" w:space="0" w:color="auto"/>
                    <w:bottom w:val="none" w:sz="0" w:space="0" w:color="auto"/>
                    <w:right w:val="none" w:sz="0" w:space="0" w:color="auto"/>
                  </w:divBdr>
                  <w:divsChild>
                    <w:div w:id="1906186575">
                      <w:marLeft w:val="0"/>
                      <w:marRight w:val="0"/>
                      <w:marTop w:val="0"/>
                      <w:marBottom w:val="0"/>
                      <w:divBdr>
                        <w:top w:val="none" w:sz="0" w:space="0" w:color="auto"/>
                        <w:left w:val="none" w:sz="0" w:space="0" w:color="auto"/>
                        <w:bottom w:val="none" w:sz="0" w:space="0" w:color="auto"/>
                        <w:right w:val="none" w:sz="0" w:space="0" w:color="auto"/>
                      </w:divBdr>
                      <w:divsChild>
                        <w:div w:id="1906186569">
                          <w:marLeft w:val="0"/>
                          <w:marRight w:val="0"/>
                          <w:marTop w:val="0"/>
                          <w:marBottom w:val="0"/>
                          <w:divBdr>
                            <w:top w:val="none" w:sz="0" w:space="0" w:color="auto"/>
                            <w:left w:val="none" w:sz="0" w:space="0" w:color="auto"/>
                            <w:bottom w:val="none" w:sz="0" w:space="0" w:color="auto"/>
                            <w:right w:val="none" w:sz="0" w:space="0" w:color="auto"/>
                          </w:divBdr>
                          <w:divsChild>
                            <w:div w:id="1906186588">
                              <w:marLeft w:val="0"/>
                              <w:marRight w:val="0"/>
                              <w:marTop w:val="0"/>
                              <w:marBottom w:val="0"/>
                              <w:divBdr>
                                <w:top w:val="none" w:sz="0" w:space="0" w:color="auto"/>
                                <w:left w:val="none" w:sz="0" w:space="0" w:color="auto"/>
                                <w:bottom w:val="none" w:sz="0" w:space="0" w:color="auto"/>
                                <w:right w:val="none" w:sz="0" w:space="0" w:color="auto"/>
                              </w:divBdr>
                              <w:divsChild>
                                <w:div w:id="1906186578">
                                  <w:marLeft w:val="0"/>
                                  <w:marRight w:val="0"/>
                                  <w:marTop w:val="0"/>
                                  <w:marBottom w:val="0"/>
                                  <w:divBdr>
                                    <w:top w:val="none" w:sz="0" w:space="0" w:color="auto"/>
                                    <w:left w:val="none" w:sz="0" w:space="0" w:color="auto"/>
                                    <w:bottom w:val="none" w:sz="0" w:space="0" w:color="auto"/>
                                    <w:right w:val="none" w:sz="0" w:space="0" w:color="auto"/>
                                  </w:divBdr>
                                  <w:divsChild>
                                    <w:div w:id="19061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86574">
      <w:marLeft w:val="0"/>
      <w:marRight w:val="0"/>
      <w:marTop w:val="0"/>
      <w:marBottom w:val="0"/>
      <w:divBdr>
        <w:top w:val="none" w:sz="0" w:space="0" w:color="auto"/>
        <w:left w:val="none" w:sz="0" w:space="0" w:color="auto"/>
        <w:bottom w:val="none" w:sz="0" w:space="0" w:color="auto"/>
        <w:right w:val="none" w:sz="0" w:space="0" w:color="auto"/>
      </w:divBdr>
    </w:div>
    <w:div w:id="1906186577">
      <w:marLeft w:val="0"/>
      <w:marRight w:val="0"/>
      <w:marTop w:val="0"/>
      <w:marBottom w:val="0"/>
      <w:divBdr>
        <w:top w:val="none" w:sz="0" w:space="0" w:color="auto"/>
        <w:left w:val="none" w:sz="0" w:space="0" w:color="auto"/>
        <w:bottom w:val="none" w:sz="0" w:space="0" w:color="auto"/>
        <w:right w:val="none" w:sz="0" w:space="0" w:color="auto"/>
      </w:divBdr>
    </w:div>
    <w:div w:id="1906186584">
      <w:marLeft w:val="0"/>
      <w:marRight w:val="0"/>
      <w:marTop w:val="0"/>
      <w:marBottom w:val="0"/>
      <w:divBdr>
        <w:top w:val="none" w:sz="0" w:space="0" w:color="auto"/>
        <w:left w:val="none" w:sz="0" w:space="0" w:color="auto"/>
        <w:bottom w:val="none" w:sz="0" w:space="0" w:color="auto"/>
        <w:right w:val="none" w:sz="0" w:space="0" w:color="auto"/>
      </w:divBdr>
      <w:divsChild>
        <w:div w:id="1906186583">
          <w:marLeft w:val="0"/>
          <w:marRight w:val="0"/>
          <w:marTop w:val="0"/>
          <w:marBottom w:val="0"/>
          <w:divBdr>
            <w:top w:val="none" w:sz="0" w:space="0" w:color="auto"/>
            <w:left w:val="none" w:sz="0" w:space="0" w:color="auto"/>
            <w:bottom w:val="none" w:sz="0" w:space="0" w:color="auto"/>
            <w:right w:val="none" w:sz="0" w:space="0" w:color="auto"/>
          </w:divBdr>
          <w:divsChild>
            <w:div w:id="1906186571">
              <w:marLeft w:val="0"/>
              <w:marRight w:val="0"/>
              <w:marTop w:val="0"/>
              <w:marBottom w:val="0"/>
              <w:divBdr>
                <w:top w:val="none" w:sz="0" w:space="0" w:color="auto"/>
                <w:left w:val="none" w:sz="0" w:space="0" w:color="auto"/>
                <w:bottom w:val="none" w:sz="0" w:space="0" w:color="auto"/>
                <w:right w:val="none" w:sz="0" w:space="0" w:color="auto"/>
              </w:divBdr>
              <w:divsChild>
                <w:div w:id="1906186576">
                  <w:marLeft w:val="0"/>
                  <w:marRight w:val="0"/>
                  <w:marTop w:val="0"/>
                  <w:marBottom w:val="0"/>
                  <w:divBdr>
                    <w:top w:val="none" w:sz="0" w:space="0" w:color="auto"/>
                    <w:left w:val="none" w:sz="0" w:space="0" w:color="auto"/>
                    <w:bottom w:val="none" w:sz="0" w:space="0" w:color="auto"/>
                    <w:right w:val="none" w:sz="0" w:space="0" w:color="auto"/>
                  </w:divBdr>
                  <w:divsChild>
                    <w:div w:id="1906186587">
                      <w:marLeft w:val="0"/>
                      <w:marRight w:val="0"/>
                      <w:marTop w:val="0"/>
                      <w:marBottom w:val="0"/>
                      <w:divBdr>
                        <w:top w:val="none" w:sz="0" w:space="0" w:color="auto"/>
                        <w:left w:val="none" w:sz="0" w:space="0" w:color="auto"/>
                        <w:bottom w:val="none" w:sz="0" w:space="0" w:color="auto"/>
                        <w:right w:val="none" w:sz="0" w:space="0" w:color="auto"/>
                      </w:divBdr>
                      <w:divsChild>
                        <w:div w:id="1906186580">
                          <w:marLeft w:val="0"/>
                          <w:marRight w:val="0"/>
                          <w:marTop w:val="0"/>
                          <w:marBottom w:val="0"/>
                          <w:divBdr>
                            <w:top w:val="none" w:sz="0" w:space="0" w:color="auto"/>
                            <w:left w:val="none" w:sz="0" w:space="0" w:color="auto"/>
                            <w:bottom w:val="none" w:sz="0" w:space="0" w:color="auto"/>
                            <w:right w:val="none" w:sz="0" w:space="0" w:color="auto"/>
                          </w:divBdr>
                          <w:divsChild>
                            <w:div w:id="1906186579">
                              <w:marLeft w:val="0"/>
                              <w:marRight w:val="0"/>
                              <w:marTop w:val="0"/>
                              <w:marBottom w:val="0"/>
                              <w:divBdr>
                                <w:top w:val="none" w:sz="0" w:space="0" w:color="auto"/>
                                <w:left w:val="none" w:sz="0" w:space="0" w:color="auto"/>
                                <w:bottom w:val="none" w:sz="0" w:space="0" w:color="auto"/>
                                <w:right w:val="none" w:sz="0" w:space="0" w:color="auto"/>
                              </w:divBdr>
                              <w:divsChild>
                                <w:div w:id="1906186570">
                                  <w:marLeft w:val="0"/>
                                  <w:marRight w:val="0"/>
                                  <w:marTop w:val="0"/>
                                  <w:marBottom w:val="0"/>
                                  <w:divBdr>
                                    <w:top w:val="none" w:sz="0" w:space="0" w:color="auto"/>
                                    <w:left w:val="none" w:sz="0" w:space="0" w:color="auto"/>
                                    <w:bottom w:val="none" w:sz="0" w:space="0" w:color="auto"/>
                                    <w:right w:val="none" w:sz="0" w:space="0" w:color="auto"/>
                                  </w:divBdr>
                                  <w:divsChild>
                                    <w:div w:id="19061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655511">
      <w:bodyDiv w:val="1"/>
      <w:marLeft w:val="0"/>
      <w:marRight w:val="0"/>
      <w:marTop w:val="0"/>
      <w:marBottom w:val="0"/>
      <w:divBdr>
        <w:top w:val="none" w:sz="0" w:space="0" w:color="auto"/>
        <w:left w:val="none" w:sz="0" w:space="0" w:color="auto"/>
        <w:bottom w:val="none" w:sz="0" w:space="0" w:color="auto"/>
        <w:right w:val="none" w:sz="0" w:space="0" w:color="auto"/>
      </w:divBdr>
    </w:div>
    <w:div w:id="21032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j.co.uk/exclusive-deaths-of-nhs-staff-from-covid-19-analysed/7027471.article" TargetMode="External"/><Relationship Id="rId3" Type="http://schemas.openxmlformats.org/officeDocument/2006/relationships/styles" Target="styles.xml"/><Relationship Id="rId7" Type="http://schemas.openxmlformats.org/officeDocument/2006/relationships/hyperlink" Target="http://www.nhsggc.org.uk/covid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omis.scot/" TargetMode="External"/><Relationship Id="rId4" Type="http://schemas.openxmlformats.org/officeDocument/2006/relationships/settings" Target="settings.xml"/><Relationship Id="rId9" Type="http://schemas.openxmlformats.org/officeDocument/2006/relationships/hyperlink" Target="https://www.rcpsych.ac.uk/docs/default-source/about-us/covid-19/impact-of-covid19-on-bame-staff-in-mental-healthcare-settings_assessment-and-management-of-risk_13052020v2.pdf?sfvrsn=1068965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A6A1-098F-461C-BBCA-1C662CD0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Risk Assessment</vt:lpstr>
    </vt:vector>
  </TitlesOfParts>
  <Company>NHS Greater Glasgow &amp; Clyde</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Owens, Nareen</dc:creator>
  <cp:lastModifiedBy>Owens, Nareen</cp:lastModifiedBy>
  <cp:revision>3</cp:revision>
  <dcterms:created xsi:type="dcterms:W3CDTF">2020-06-19T10:32:00Z</dcterms:created>
  <dcterms:modified xsi:type="dcterms:W3CDTF">2020-06-19T10:33:00Z</dcterms:modified>
</cp:coreProperties>
</file>