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E2" w:rsidRPr="00214CF8" w:rsidRDefault="00271AB8" w:rsidP="003A5D0A">
      <w:pPr>
        <w:jc w:val="both"/>
        <w:rPr>
          <w:b/>
          <w:sz w:val="24"/>
          <w:szCs w:val="24"/>
        </w:rPr>
      </w:pPr>
      <w:r w:rsidRPr="00214CF8">
        <w:rPr>
          <w:b/>
          <w:sz w:val="24"/>
          <w:szCs w:val="24"/>
        </w:rPr>
        <w:t xml:space="preserve">Preliminary Enquiry (PE) </w:t>
      </w:r>
      <w:r w:rsidR="007834E9" w:rsidRPr="00214CF8">
        <w:rPr>
          <w:b/>
          <w:sz w:val="24"/>
          <w:szCs w:val="24"/>
        </w:rPr>
        <w:t>- Record</w:t>
      </w:r>
    </w:p>
    <w:p w:rsidR="007834E9" w:rsidRDefault="00271AB8" w:rsidP="003A5D0A">
      <w:pPr>
        <w:jc w:val="both"/>
      </w:pPr>
      <w:r>
        <w:t xml:space="preserve">A PE is not a formal investigation. </w:t>
      </w:r>
      <w:r w:rsidR="007834E9">
        <w:t>It is a brief</w:t>
      </w:r>
      <w:r w:rsidR="00547681">
        <w:t xml:space="preserve"> exercise to assist the Chief of Medicine (or delegated authority) to determine the direction and scope of any subsequent</w:t>
      </w:r>
      <w:r w:rsidR="007834E9">
        <w:t xml:space="preserve"> </w:t>
      </w:r>
      <w:r w:rsidR="00547681">
        <w:t>course of action</w:t>
      </w:r>
      <w:r w:rsidR="007834E9">
        <w:t>, which may include a decision to invoke a formal investigation.</w:t>
      </w:r>
      <w:r w:rsidR="00547681">
        <w:t xml:space="preserve">  The PE should be limited to gathering </w:t>
      </w:r>
      <w:r w:rsidR="003A5D0A">
        <w:t xml:space="preserve">the basic </w:t>
      </w:r>
      <w:r w:rsidR="00547681">
        <w:t xml:space="preserve">information </w:t>
      </w:r>
      <w:r w:rsidR="007834E9">
        <w:t xml:space="preserve">which will </w:t>
      </w:r>
      <w:r w:rsidR="00547681">
        <w:t xml:space="preserve">assist the Chief of Medicine </w:t>
      </w:r>
      <w:r w:rsidR="007834E9">
        <w:t xml:space="preserve">in reaching </w:t>
      </w:r>
      <w:r w:rsidR="00547681">
        <w:t>this decision</w:t>
      </w:r>
      <w:r w:rsidR="007834E9">
        <w:t>.</w:t>
      </w:r>
    </w:p>
    <w:p w:rsidR="00271AB8" w:rsidRDefault="007834E9" w:rsidP="003A5D0A">
      <w:pPr>
        <w:jc w:val="both"/>
        <w:rPr>
          <w:b/>
        </w:rPr>
      </w:pPr>
      <w:r w:rsidRPr="007834E9">
        <w:rPr>
          <w:b/>
        </w:rPr>
        <w:t xml:space="preserve">Section 1: To be completed by the Chief of Medicine (or delegated authority) undertaking the PE </w:t>
      </w:r>
      <w:r w:rsidR="00547681" w:rsidRPr="007834E9">
        <w:rPr>
          <w:b/>
        </w:rPr>
        <w:t xml:space="preserve"> </w:t>
      </w:r>
    </w:p>
    <w:tbl>
      <w:tblPr>
        <w:tblStyle w:val="TableGrid"/>
        <w:tblW w:w="9498" w:type="dxa"/>
        <w:tblInd w:w="108" w:type="dxa"/>
        <w:tblLook w:val="04A0"/>
      </w:tblPr>
      <w:tblGrid>
        <w:gridCol w:w="4513"/>
        <w:gridCol w:w="4985"/>
      </w:tblGrid>
      <w:tr w:rsidR="003A5D0A" w:rsidTr="004E2E8E">
        <w:tc>
          <w:tcPr>
            <w:tcW w:w="9498" w:type="dxa"/>
            <w:gridSpan w:val="2"/>
            <w:shd w:val="clear" w:color="auto" w:fill="D9D9D9" w:themeFill="background1" w:themeFillShade="D9"/>
          </w:tcPr>
          <w:p w:rsidR="003A5D0A" w:rsidRDefault="003A5D0A" w:rsidP="003A5D0A">
            <w:pPr>
              <w:jc w:val="both"/>
              <w:rPr>
                <w:b/>
              </w:rPr>
            </w:pPr>
            <w:r>
              <w:rPr>
                <w:b/>
              </w:rPr>
              <w:t>Personal Details</w:t>
            </w:r>
          </w:p>
        </w:tc>
      </w:tr>
      <w:tr w:rsidR="003A5D0A" w:rsidTr="004E2E8E">
        <w:tc>
          <w:tcPr>
            <w:tcW w:w="4513" w:type="dxa"/>
          </w:tcPr>
          <w:p w:rsidR="003A5D0A" w:rsidRDefault="00647E4E" w:rsidP="003A5D0A">
            <w:pPr>
              <w:jc w:val="both"/>
              <w:rPr>
                <w:b/>
              </w:rPr>
            </w:pPr>
            <w:r>
              <w:rPr>
                <w:b/>
              </w:rPr>
              <w:t xml:space="preserve">Practitioner’s </w:t>
            </w:r>
            <w:r w:rsidR="003A5D0A">
              <w:rPr>
                <w:b/>
              </w:rPr>
              <w:t>Name</w:t>
            </w:r>
          </w:p>
          <w:p w:rsidR="00214CF8" w:rsidRDefault="00214CF8" w:rsidP="003A5D0A">
            <w:pPr>
              <w:jc w:val="both"/>
              <w:rPr>
                <w:b/>
              </w:rPr>
            </w:pPr>
          </w:p>
        </w:tc>
        <w:tc>
          <w:tcPr>
            <w:tcW w:w="4985" w:type="dxa"/>
          </w:tcPr>
          <w:p w:rsidR="003A5D0A" w:rsidRDefault="003A5D0A" w:rsidP="003A5D0A">
            <w:pPr>
              <w:jc w:val="both"/>
              <w:rPr>
                <w:b/>
              </w:rPr>
            </w:pPr>
          </w:p>
        </w:tc>
      </w:tr>
      <w:tr w:rsidR="003A5D0A" w:rsidTr="004E2E8E">
        <w:tc>
          <w:tcPr>
            <w:tcW w:w="4513" w:type="dxa"/>
          </w:tcPr>
          <w:p w:rsidR="003A5D0A" w:rsidRDefault="003A5D0A" w:rsidP="003A5D0A">
            <w:pPr>
              <w:jc w:val="both"/>
              <w:rPr>
                <w:b/>
              </w:rPr>
            </w:pPr>
            <w:r>
              <w:rPr>
                <w:b/>
              </w:rPr>
              <w:t>Grade</w:t>
            </w:r>
          </w:p>
          <w:p w:rsidR="00214CF8" w:rsidRDefault="00214CF8" w:rsidP="003A5D0A">
            <w:pPr>
              <w:jc w:val="both"/>
              <w:rPr>
                <w:b/>
              </w:rPr>
            </w:pPr>
          </w:p>
        </w:tc>
        <w:tc>
          <w:tcPr>
            <w:tcW w:w="4985" w:type="dxa"/>
          </w:tcPr>
          <w:p w:rsidR="003A5D0A" w:rsidRDefault="003A5D0A" w:rsidP="003A5D0A">
            <w:pPr>
              <w:jc w:val="both"/>
              <w:rPr>
                <w:b/>
              </w:rPr>
            </w:pPr>
          </w:p>
        </w:tc>
      </w:tr>
      <w:tr w:rsidR="003A5D0A" w:rsidTr="004E2E8E">
        <w:tc>
          <w:tcPr>
            <w:tcW w:w="4513" w:type="dxa"/>
          </w:tcPr>
          <w:p w:rsidR="003A5D0A" w:rsidRDefault="003A5D0A" w:rsidP="003A5D0A">
            <w:pPr>
              <w:jc w:val="both"/>
              <w:rPr>
                <w:b/>
              </w:rPr>
            </w:pPr>
            <w:r>
              <w:rPr>
                <w:b/>
              </w:rPr>
              <w:t>Department</w:t>
            </w:r>
          </w:p>
          <w:p w:rsidR="00214CF8" w:rsidRDefault="00214CF8" w:rsidP="003A5D0A">
            <w:pPr>
              <w:jc w:val="both"/>
              <w:rPr>
                <w:b/>
              </w:rPr>
            </w:pPr>
          </w:p>
        </w:tc>
        <w:tc>
          <w:tcPr>
            <w:tcW w:w="4985" w:type="dxa"/>
          </w:tcPr>
          <w:p w:rsidR="003A5D0A" w:rsidRDefault="003A5D0A" w:rsidP="003A5D0A">
            <w:pPr>
              <w:jc w:val="both"/>
              <w:rPr>
                <w:b/>
              </w:rPr>
            </w:pPr>
          </w:p>
        </w:tc>
      </w:tr>
      <w:tr w:rsidR="003A5D0A" w:rsidTr="004E2E8E">
        <w:tc>
          <w:tcPr>
            <w:tcW w:w="4513" w:type="dxa"/>
          </w:tcPr>
          <w:p w:rsidR="003A5D0A" w:rsidRDefault="003A5D0A" w:rsidP="003A5D0A">
            <w:pPr>
              <w:jc w:val="both"/>
              <w:rPr>
                <w:b/>
              </w:rPr>
            </w:pPr>
            <w:r>
              <w:rPr>
                <w:b/>
              </w:rPr>
              <w:t>Sector/Directorate</w:t>
            </w:r>
          </w:p>
          <w:p w:rsidR="00214CF8" w:rsidRDefault="00214CF8" w:rsidP="003A5D0A">
            <w:pPr>
              <w:jc w:val="both"/>
              <w:rPr>
                <w:b/>
              </w:rPr>
            </w:pPr>
          </w:p>
        </w:tc>
        <w:tc>
          <w:tcPr>
            <w:tcW w:w="4985" w:type="dxa"/>
          </w:tcPr>
          <w:p w:rsidR="003A5D0A" w:rsidRDefault="003A5D0A" w:rsidP="003A5D0A">
            <w:pPr>
              <w:jc w:val="both"/>
              <w:rPr>
                <w:b/>
              </w:rPr>
            </w:pPr>
          </w:p>
        </w:tc>
      </w:tr>
    </w:tbl>
    <w:p w:rsidR="003A5D0A" w:rsidRDefault="003A5D0A" w:rsidP="003A5D0A">
      <w:pPr>
        <w:jc w:val="both"/>
        <w:rPr>
          <w:b/>
        </w:rPr>
      </w:pPr>
    </w:p>
    <w:tbl>
      <w:tblPr>
        <w:tblStyle w:val="TableGrid"/>
        <w:tblW w:w="9498" w:type="dxa"/>
        <w:tblInd w:w="108" w:type="dxa"/>
        <w:tblLook w:val="04A0"/>
      </w:tblPr>
      <w:tblGrid>
        <w:gridCol w:w="3969"/>
        <w:gridCol w:w="3402"/>
        <w:gridCol w:w="2127"/>
      </w:tblGrid>
      <w:tr w:rsidR="004E2E8E" w:rsidTr="004E2E8E">
        <w:tc>
          <w:tcPr>
            <w:tcW w:w="9498" w:type="dxa"/>
            <w:gridSpan w:val="3"/>
            <w:shd w:val="clear" w:color="auto" w:fill="D9D9D9" w:themeFill="background1" w:themeFillShade="D9"/>
          </w:tcPr>
          <w:p w:rsidR="004E2E8E" w:rsidRDefault="004E2E8E" w:rsidP="00355579">
            <w:pPr>
              <w:jc w:val="both"/>
              <w:rPr>
                <w:b/>
              </w:rPr>
            </w:pPr>
            <w:r>
              <w:rPr>
                <w:b/>
              </w:rPr>
              <w:t>Brief Description of Incident/Allegation</w:t>
            </w:r>
            <w:r w:rsidR="0024572E">
              <w:rPr>
                <w:b/>
              </w:rPr>
              <w:t xml:space="preserve"> </w:t>
            </w:r>
            <w:r w:rsidR="0024572E" w:rsidRPr="00A51042">
              <w:t>e.g. date</w:t>
            </w:r>
            <w:r w:rsidR="00355579">
              <w:t xml:space="preserve"> &amp; nature of incident, parties involved,</w:t>
            </w:r>
            <w:r w:rsidR="0024572E" w:rsidRPr="00A51042">
              <w:t xml:space="preserve"> names of witnesses</w:t>
            </w:r>
            <w:r w:rsidR="00355579">
              <w:t xml:space="preserve"> etc.</w:t>
            </w:r>
          </w:p>
        </w:tc>
      </w:tr>
      <w:tr w:rsidR="004E2E8E" w:rsidTr="004E2E8E">
        <w:trPr>
          <w:trHeight w:val="1875"/>
        </w:trPr>
        <w:tc>
          <w:tcPr>
            <w:tcW w:w="9498" w:type="dxa"/>
            <w:gridSpan w:val="3"/>
          </w:tcPr>
          <w:p w:rsidR="004E2E8E" w:rsidRDefault="004E2E8E" w:rsidP="003A5D0A">
            <w:pPr>
              <w:jc w:val="both"/>
              <w:rPr>
                <w:b/>
              </w:rPr>
            </w:pPr>
          </w:p>
          <w:p w:rsidR="004E2E8E" w:rsidRDefault="004E2E8E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4E2E8E" w:rsidRDefault="004E2E8E" w:rsidP="003A5D0A">
            <w:pPr>
              <w:jc w:val="both"/>
              <w:rPr>
                <w:b/>
              </w:rPr>
            </w:pPr>
          </w:p>
          <w:p w:rsidR="004E2E8E" w:rsidRDefault="004E2E8E" w:rsidP="003A5D0A">
            <w:pPr>
              <w:jc w:val="both"/>
              <w:rPr>
                <w:b/>
              </w:rPr>
            </w:pPr>
          </w:p>
          <w:p w:rsidR="004E2E8E" w:rsidRDefault="004E2E8E" w:rsidP="003A5D0A">
            <w:pPr>
              <w:jc w:val="both"/>
              <w:rPr>
                <w:b/>
              </w:rPr>
            </w:pPr>
          </w:p>
          <w:p w:rsidR="004E2E8E" w:rsidRDefault="004E2E8E" w:rsidP="003A5D0A">
            <w:pPr>
              <w:jc w:val="both"/>
              <w:rPr>
                <w:b/>
              </w:rPr>
            </w:pPr>
          </w:p>
          <w:p w:rsidR="004E2E8E" w:rsidRDefault="004E2E8E" w:rsidP="003A5D0A">
            <w:pPr>
              <w:jc w:val="both"/>
              <w:rPr>
                <w:b/>
              </w:rPr>
            </w:pPr>
          </w:p>
        </w:tc>
      </w:tr>
      <w:tr w:rsidR="004E2E8E" w:rsidTr="004E2E8E">
        <w:tc>
          <w:tcPr>
            <w:tcW w:w="9498" w:type="dxa"/>
            <w:gridSpan w:val="3"/>
            <w:shd w:val="clear" w:color="auto" w:fill="D9D9D9" w:themeFill="background1" w:themeFillShade="D9"/>
          </w:tcPr>
          <w:p w:rsidR="004E2E8E" w:rsidRDefault="004E2E8E" w:rsidP="00D12E0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Evidence Gathered</w:t>
            </w:r>
            <w:r w:rsidR="0024572E">
              <w:rPr>
                <w:b/>
              </w:rPr>
              <w:t xml:space="preserve"> </w:t>
            </w:r>
            <w:r w:rsidR="0024572E" w:rsidRPr="00A51042">
              <w:t>e.g. brief summary of meeting with doctor</w:t>
            </w:r>
            <w:r w:rsidR="00A51042" w:rsidRPr="00A51042">
              <w:t xml:space="preserve"> including </w:t>
            </w:r>
            <w:r w:rsidR="00355579">
              <w:t xml:space="preserve">their </w:t>
            </w:r>
            <w:r w:rsidR="00D12E07">
              <w:t xml:space="preserve">response to allegation. </w:t>
            </w:r>
            <w:r w:rsidR="00A51042" w:rsidRPr="00A51042">
              <w:t>I</w:t>
            </w:r>
            <w:r w:rsidR="00D12E07">
              <w:t>t should not be necessary to interview witnesses at this stage.  Attach copies of written statements, SCI Reports, case notes etc.</w:t>
            </w:r>
            <w:r w:rsidR="00A51042">
              <w:t xml:space="preserve">  </w:t>
            </w:r>
          </w:p>
        </w:tc>
      </w:tr>
      <w:tr w:rsidR="004E2E8E" w:rsidTr="004E2E8E">
        <w:trPr>
          <w:trHeight w:val="5466"/>
        </w:trPr>
        <w:tc>
          <w:tcPr>
            <w:tcW w:w="9498" w:type="dxa"/>
            <w:gridSpan w:val="3"/>
          </w:tcPr>
          <w:p w:rsidR="004E2E8E" w:rsidRDefault="004E2E8E" w:rsidP="003A5D0A">
            <w:pPr>
              <w:jc w:val="both"/>
              <w:rPr>
                <w:b/>
              </w:rPr>
            </w:pPr>
          </w:p>
          <w:p w:rsidR="004E2E8E" w:rsidRDefault="004E2E8E" w:rsidP="003A5D0A">
            <w:pPr>
              <w:jc w:val="both"/>
              <w:rPr>
                <w:b/>
              </w:rPr>
            </w:pPr>
          </w:p>
          <w:p w:rsidR="004E2E8E" w:rsidRDefault="004E2E8E" w:rsidP="003A5D0A">
            <w:pPr>
              <w:jc w:val="both"/>
              <w:rPr>
                <w:b/>
              </w:rPr>
            </w:pPr>
          </w:p>
          <w:p w:rsidR="004E2E8E" w:rsidRDefault="004E2E8E" w:rsidP="003A5D0A">
            <w:pPr>
              <w:jc w:val="both"/>
              <w:rPr>
                <w:b/>
              </w:rPr>
            </w:pPr>
          </w:p>
          <w:p w:rsidR="004E2E8E" w:rsidRDefault="004E2E8E" w:rsidP="003A5D0A">
            <w:pPr>
              <w:jc w:val="both"/>
              <w:rPr>
                <w:b/>
              </w:rPr>
            </w:pPr>
          </w:p>
          <w:p w:rsidR="004E2E8E" w:rsidRDefault="004E2E8E" w:rsidP="003A5D0A">
            <w:pPr>
              <w:jc w:val="both"/>
              <w:rPr>
                <w:b/>
              </w:rPr>
            </w:pPr>
          </w:p>
          <w:p w:rsidR="004E2E8E" w:rsidRDefault="004E2E8E" w:rsidP="003A5D0A">
            <w:pPr>
              <w:jc w:val="both"/>
              <w:rPr>
                <w:b/>
              </w:rPr>
            </w:pPr>
          </w:p>
          <w:p w:rsidR="004E2E8E" w:rsidRDefault="004E2E8E" w:rsidP="003A5D0A">
            <w:pPr>
              <w:jc w:val="both"/>
              <w:rPr>
                <w:b/>
              </w:rPr>
            </w:pPr>
          </w:p>
          <w:p w:rsidR="004E2E8E" w:rsidRDefault="004E2E8E" w:rsidP="003A5D0A">
            <w:pPr>
              <w:jc w:val="both"/>
              <w:rPr>
                <w:b/>
              </w:rPr>
            </w:pPr>
          </w:p>
          <w:p w:rsidR="004E2E8E" w:rsidRDefault="004E2E8E" w:rsidP="003A5D0A">
            <w:pPr>
              <w:jc w:val="both"/>
              <w:rPr>
                <w:b/>
              </w:rPr>
            </w:pPr>
          </w:p>
          <w:p w:rsidR="004E2E8E" w:rsidRDefault="004E2E8E" w:rsidP="003A5D0A">
            <w:pPr>
              <w:jc w:val="both"/>
              <w:rPr>
                <w:b/>
              </w:rPr>
            </w:pPr>
          </w:p>
          <w:p w:rsidR="004E2E8E" w:rsidRDefault="004E2E8E" w:rsidP="003A5D0A">
            <w:pPr>
              <w:jc w:val="both"/>
              <w:rPr>
                <w:b/>
              </w:rPr>
            </w:pPr>
          </w:p>
          <w:p w:rsidR="004E2E8E" w:rsidRDefault="004E2E8E" w:rsidP="003A5D0A">
            <w:pPr>
              <w:jc w:val="both"/>
              <w:rPr>
                <w:b/>
              </w:rPr>
            </w:pPr>
          </w:p>
          <w:p w:rsidR="004E2E8E" w:rsidRDefault="004E2E8E" w:rsidP="003A5D0A">
            <w:pPr>
              <w:jc w:val="both"/>
              <w:rPr>
                <w:b/>
              </w:rPr>
            </w:pPr>
          </w:p>
          <w:p w:rsidR="004E2E8E" w:rsidRDefault="004E2E8E" w:rsidP="003A5D0A">
            <w:pPr>
              <w:jc w:val="both"/>
              <w:rPr>
                <w:b/>
              </w:rPr>
            </w:pPr>
          </w:p>
          <w:p w:rsidR="004E2E8E" w:rsidRDefault="004E2E8E" w:rsidP="003A5D0A">
            <w:pPr>
              <w:jc w:val="both"/>
              <w:rPr>
                <w:b/>
              </w:rPr>
            </w:pPr>
          </w:p>
          <w:p w:rsidR="004E2E8E" w:rsidRDefault="004E2E8E" w:rsidP="003A5D0A">
            <w:pPr>
              <w:jc w:val="both"/>
              <w:rPr>
                <w:b/>
              </w:rPr>
            </w:pPr>
          </w:p>
          <w:p w:rsidR="004E2E8E" w:rsidRDefault="004E2E8E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4E2E8E" w:rsidRDefault="004E2E8E" w:rsidP="003A5D0A">
            <w:pPr>
              <w:jc w:val="both"/>
              <w:rPr>
                <w:b/>
              </w:rPr>
            </w:pPr>
          </w:p>
        </w:tc>
      </w:tr>
      <w:tr w:rsidR="004E2E8E" w:rsidTr="004E2E8E">
        <w:trPr>
          <w:trHeight w:val="271"/>
        </w:trPr>
        <w:tc>
          <w:tcPr>
            <w:tcW w:w="9498" w:type="dxa"/>
            <w:gridSpan w:val="3"/>
            <w:shd w:val="clear" w:color="auto" w:fill="D9D9D9" w:themeFill="background1" w:themeFillShade="D9"/>
          </w:tcPr>
          <w:p w:rsidR="004E2E8E" w:rsidRDefault="004E2E8E" w:rsidP="00AA61C8">
            <w:pPr>
              <w:jc w:val="both"/>
              <w:rPr>
                <w:b/>
              </w:rPr>
            </w:pPr>
            <w:r>
              <w:rPr>
                <w:b/>
              </w:rPr>
              <w:t xml:space="preserve">P.E Record completed by: </w:t>
            </w:r>
          </w:p>
        </w:tc>
      </w:tr>
      <w:tr w:rsidR="000E01D7" w:rsidTr="008C2BD1">
        <w:trPr>
          <w:trHeight w:val="464"/>
        </w:trPr>
        <w:tc>
          <w:tcPr>
            <w:tcW w:w="3969" w:type="dxa"/>
          </w:tcPr>
          <w:p w:rsidR="000E01D7" w:rsidRDefault="000E01D7" w:rsidP="007E09E8">
            <w:pPr>
              <w:jc w:val="both"/>
              <w:rPr>
                <w:b/>
              </w:rPr>
            </w:pPr>
            <w:r>
              <w:rPr>
                <w:b/>
              </w:rPr>
              <w:t>Name:</w:t>
            </w:r>
          </w:p>
          <w:p w:rsidR="00FB105E" w:rsidRDefault="00FB105E" w:rsidP="007E09E8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0E01D7" w:rsidRPr="000E01D7" w:rsidRDefault="000E01D7" w:rsidP="004E2E8E">
            <w:pPr>
              <w:jc w:val="both"/>
              <w:rPr>
                <w:b/>
              </w:rPr>
            </w:pPr>
            <w:r>
              <w:rPr>
                <w:b/>
              </w:rPr>
              <w:t xml:space="preserve">Chief of Medicine/Clinical Director </w:t>
            </w:r>
          </w:p>
        </w:tc>
        <w:tc>
          <w:tcPr>
            <w:tcW w:w="2127" w:type="dxa"/>
          </w:tcPr>
          <w:p w:rsidR="000E01D7" w:rsidRDefault="004E2E8E" w:rsidP="004E2E8E">
            <w:pPr>
              <w:jc w:val="both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0E01D7" w:rsidTr="008C2BD1">
        <w:trPr>
          <w:trHeight w:val="418"/>
        </w:trPr>
        <w:tc>
          <w:tcPr>
            <w:tcW w:w="3969" w:type="dxa"/>
          </w:tcPr>
          <w:p w:rsidR="000E01D7" w:rsidRDefault="000E01D7" w:rsidP="007E09E8">
            <w:pPr>
              <w:jc w:val="both"/>
              <w:rPr>
                <w:b/>
              </w:rPr>
            </w:pPr>
            <w:r>
              <w:rPr>
                <w:b/>
              </w:rPr>
              <w:t>Name:</w:t>
            </w:r>
          </w:p>
          <w:p w:rsidR="00FB105E" w:rsidRDefault="00FB105E" w:rsidP="007E09E8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0E01D7" w:rsidRDefault="000E01D7" w:rsidP="007E09E8">
            <w:pPr>
              <w:jc w:val="both"/>
              <w:rPr>
                <w:b/>
              </w:rPr>
            </w:pPr>
            <w:r>
              <w:rPr>
                <w:b/>
              </w:rPr>
              <w:t>People &amp; Change Manager</w:t>
            </w:r>
          </w:p>
        </w:tc>
        <w:tc>
          <w:tcPr>
            <w:tcW w:w="2127" w:type="dxa"/>
          </w:tcPr>
          <w:p w:rsidR="000E01D7" w:rsidRDefault="004E2E8E" w:rsidP="004E2E8E">
            <w:pPr>
              <w:jc w:val="both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214CF8" w:rsidRDefault="00214CF8" w:rsidP="009C5AAD">
      <w:pPr>
        <w:jc w:val="both"/>
        <w:rPr>
          <w:b/>
        </w:rPr>
      </w:pPr>
    </w:p>
    <w:p w:rsidR="009C5AAD" w:rsidRDefault="009C5AAD" w:rsidP="009C5AAD">
      <w:pPr>
        <w:jc w:val="both"/>
        <w:rPr>
          <w:b/>
        </w:rPr>
      </w:pPr>
      <w:r w:rsidRPr="007834E9">
        <w:rPr>
          <w:b/>
        </w:rPr>
        <w:lastRenderedPageBreak/>
        <w:t xml:space="preserve">Section </w:t>
      </w:r>
      <w:r>
        <w:rPr>
          <w:b/>
        </w:rPr>
        <w:t>2</w:t>
      </w:r>
      <w:r w:rsidRPr="007834E9">
        <w:rPr>
          <w:b/>
        </w:rPr>
        <w:t>: To be completed by the Chief of Medicine</w:t>
      </w:r>
      <w:r w:rsidR="0040202E">
        <w:rPr>
          <w:b/>
        </w:rPr>
        <w:t xml:space="preserve"> </w:t>
      </w:r>
      <w:r w:rsidR="00B749A5" w:rsidRPr="00B749A5">
        <w:rPr>
          <w:b/>
          <w:u w:val="single"/>
        </w:rPr>
        <w:t>only</w:t>
      </w:r>
      <w:r w:rsidR="00B749A5">
        <w:rPr>
          <w:b/>
        </w:rPr>
        <w:t xml:space="preserve"> </w:t>
      </w:r>
      <w:r w:rsidR="0040202E">
        <w:rPr>
          <w:b/>
        </w:rPr>
        <w:t>advis</w:t>
      </w:r>
      <w:r w:rsidR="00AA61C8">
        <w:rPr>
          <w:b/>
        </w:rPr>
        <w:t>ing of</w:t>
      </w:r>
      <w:r w:rsidR="0040202E">
        <w:rPr>
          <w:b/>
        </w:rPr>
        <w:t xml:space="preserve"> next step</w:t>
      </w:r>
      <w:r w:rsidR="00355579">
        <w:rPr>
          <w:b/>
        </w:rPr>
        <w:t>(s)</w:t>
      </w:r>
      <w:r w:rsidR="0040202E">
        <w:rPr>
          <w:b/>
        </w:rPr>
        <w:t xml:space="preserve"> following review of the information gathered</w:t>
      </w:r>
      <w:r w:rsidR="00AA61C8">
        <w:rPr>
          <w:b/>
        </w:rPr>
        <w:t xml:space="preserve"> above</w:t>
      </w:r>
    </w:p>
    <w:tbl>
      <w:tblPr>
        <w:tblStyle w:val="TableGrid"/>
        <w:tblW w:w="9498" w:type="dxa"/>
        <w:tblInd w:w="108" w:type="dxa"/>
        <w:tblLook w:val="04A0"/>
      </w:tblPr>
      <w:tblGrid>
        <w:gridCol w:w="2972"/>
        <w:gridCol w:w="997"/>
        <w:gridCol w:w="5529"/>
      </w:tblGrid>
      <w:tr w:rsidR="0040202E" w:rsidTr="004E2E8E">
        <w:tc>
          <w:tcPr>
            <w:tcW w:w="2972" w:type="dxa"/>
            <w:shd w:val="clear" w:color="auto" w:fill="D9D9D9" w:themeFill="background1" w:themeFillShade="D9"/>
          </w:tcPr>
          <w:p w:rsidR="0040202E" w:rsidRPr="004E2E8E" w:rsidRDefault="0040202E" w:rsidP="003A5D0A">
            <w:pPr>
              <w:jc w:val="both"/>
              <w:rPr>
                <w:b/>
              </w:rPr>
            </w:pPr>
            <w:r w:rsidRPr="004E2E8E">
              <w:rPr>
                <w:b/>
              </w:rPr>
              <w:t>Appropriate Course of Action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40202E" w:rsidRPr="004E2E8E" w:rsidRDefault="0040202E" w:rsidP="003A5D0A">
            <w:pPr>
              <w:jc w:val="both"/>
              <w:rPr>
                <w:b/>
              </w:rPr>
            </w:pPr>
            <w:r w:rsidRPr="004E2E8E">
              <w:rPr>
                <w:b/>
              </w:rPr>
              <w:t>Y/N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40202E" w:rsidRPr="004E2E8E" w:rsidRDefault="000E01D7" w:rsidP="003A5D0A">
            <w:pPr>
              <w:jc w:val="both"/>
              <w:rPr>
                <w:b/>
              </w:rPr>
            </w:pPr>
            <w:r w:rsidRPr="004E2E8E">
              <w:rPr>
                <w:b/>
              </w:rPr>
              <w:t>Comments/Arrangements</w:t>
            </w:r>
          </w:p>
        </w:tc>
      </w:tr>
      <w:tr w:rsidR="0040202E" w:rsidTr="00A51042">
        <w:trPr>
          <w:trHeight w:val="447"/>
        </w:trPr>
        <w:tc>
          <w:tcPr>
            <w:tcW w:w="2972" w:type="dxa"/>
          </w:tcPr>
          <w:p w:rsidR="0040202E" w:rsidRPr="00AA61C8" w:rsidRDefault="0040202E" w:rsidP="003A5D0A">
            <w:pPr>
              <w:jc w:val="both"/>
            </w:pPr>
            <w:r w:rsidRPr="00AA61C8">
              <w:t xml:space="preserve">No action required </w:t>
            </w:r>
          </w:p>
        </w:tc>
        <w:tc>
          <w:tcPr>
            <w:tcW w:w="997" w:type="dxa"/>
          </w:tcPr>
          <w:p w:rsidR="0040202E" w:rsidRPr="00AA61C8" w:rsidRDefault="0040202E" w:rsidP="003A5D0A">
            <w:pPr>
              <w:jc w:val="both"/>
            </w:pPr>
          </w:p>
        </w:tc>
        <w:tc>
          <w:tcPr>
            <w:tcW w:w="5529" w:type="dxa"/>
            <w:shd w:val="clear" w:color="auto" w:fill="auto"/>
          </w:tcPr>
          <w:p w:rsidR="0040202E" w:rsidRPr="00AA61C8" w:rsidRDefault="00A51042" w:rsidP="003A5D0A">
            <w:pPr>
              <w:jc w:val="both"/>
            </w:pPr>
            <w:r>
              <w:t>No case to answer/Insufficient evidence to proceed</w:t>
            </w:r>
          </w:p>
        </w:tc>
      </w:tr>
      <w:tr w:rsidR="0040202E" w:rsidTr="004E2E8E">
        <w:tc>
          <w:tcPr>
            <w:tcW w:w="2972" w:type="dxa"/>
          </w:tcPr>
          <w:p w:rsidR="0040202E" w:rsidRPr="00AA61C8" w:rsidRDefault="00680ACC" w:rsidP="003A5D0A">
            <w:pPr>
              <w:jc w:val="both"/>
            </w:pPr>
            <w:r>
              <w:t xml:space="preserve">The case </w:t>
            </w:r>
            <w:r w:rsidR="0040202E" w:rsidRPr="00AA61C8">
              <w:t>is minor and can be dealt with on an informal basis within the Sector/Directorate</w:t>
            </w:r>
            <w:r w:rsidR="001471BF" w:rsidRPr="00AA61C8">
              <w:t xml:space="preserve"> e.g. objective setting, </w:t>
            </w:r>
            <w:r w:rsidR="000975E2" w:rsidRPr="00AA61C8">
              <w:t>training</w:t>
            </w:r>
          </w:p>
        </w:tc>
        <w:tc>
          <w:tcPr>
            <w:tcW w:w="997" w:type="dxa"/>
          </w:tcPr>
          <w:p w:rsidR="0040202E" w:rsidRPr="00AA61C8" w:rsidRDefault="0040202E" w:rsidP="003A5D0A">
            <w:pPr>
              <w:jc w:val="both"/>
            </w:pPr>
          </w:p>
        </w:tc>
        <w:tc>
          <w:tcPr>
            <w:tcW w:w="5529" w:type="dxa"/>
          </w:tcPr>
          <w:p w:rsidR="0040202E" w:rsidRPr="00AA61C8" w:rsidRDefault="000975E2" w:rsidP="000975E2">
            <w:pPr>
              <w:jc w:val="both"/>
            </w:pPr>
            <w:r w:rsidRPr="00AA61C8">
              <w:t>I</w:t>
            </w:r>
            <w:r w:rsidR="001471BF" w:rsidRPr="00AA61C8">
              <w:t xml:space="preserve">dentify a named </w:t>
            </w:r>
            <w:r w:rsidR="000E01D7">
              <w:t>medical manager</w:t>
            </w:r>
            <w:r w:rsidR="001471BF" w:rsidRPr="00AA61C8">
              <w:t xml:space="preserve"> who will be taking this forward </w:t>
            </w:r>
          </w:p>
          <w:p w:rsidR="000975E2" w:rsidRPr="00AA61C8" w:rsidRDefault="000975E2" w:rsidP="000975E2">
            <w:pPr>
              <w:jc w:val="both"/>
            </w:pPr>
          </w:p>
          <w:p w:rsidR="000975E2" w:rsidRDefault="000975E2" w:rsidP="000975E2">
            <w:pPr>
              <w:jc w:val="both"/>
            </w:pPr>
            <w:r w:rsidRPr="00AA61C8">
              <w:t>Name:</w:t>
            </w:r>
          </w:p>
          <w:p w:rsidR="00B749A5" w:rsidRPr="00AA61C8" w:rsidRDefault="00B749A5" w:rsidP="000975E2">
            <w:pPr>
              <w:jc w:val="both"/>
            </w:pPr>
          </w:p>
          <w:p w:rsidR="000975E2" w:rsidRPr="00AA61C8" w:rsidRDefault="000975E2" w:rsidP="000975E2">
            <w:pPr>
              <w:jc w:val="both"/>
            </w:pPr>
          </w:p>
          <w:p w:rsidR="000975E2" w:rsidRDefault="000975E2" w:rsidP="000975E2">
            <w:pPr>
              <w:jc w:val="both"/>
            </w:pPr>
            <w:r w:rsidRPr="00AA61C8">
              <w:t>Contact Details:</w:t>
            </w:r>
          </w:p>
          <w:p w:rsidR="00B749A5" w:rsidRDefault="00B749A5" w:rsidP="000975E2">
            <w:pPr>
              <w:jc w:val="both"/>
            </w:pPr>
          </w:p>
          <w:p w:rsidR="00B749A5" w:rsidRPr="00AA61C8" w:rsidRDefault="00B749A5" w:rsidP="000975E2">
            <w:pPr>
              <w:jc w:val="both"/>
            </w:pPr>
          </w:p>
        </w:tc>
      </w:tr>
      <w:tr w:rsidR="0040202E" w:rsidTr="004E2E8E">
        <w:tc>
          <w:tcPr>
            <w:tcW w:w="2972" w:type="dxa"/>
          </w:tcPr>
          <w:p w:rsidR="0040202E" w:rsidRDefault="0040202E" w:rsidP="003A5D0A">
            <w:pPr>
              <w:jc w:val="both"/>
            </w:pPr>
            <w:r w:rsidRPr="00AA61C8">
              <w:t xml:space="preserve">The case is minor and </w:t>
            </w:r>
            <w:r w:rsidR="001471BF" w:rsidRPr="00AA61C8">
              <w:t>warrants referral to the Clinical Support Group (CSG)</w:t>
            </w:r>
            <w:r w:rsidR="00533395">
              <w:t xml:space="preserve"> e.g. external coaching, remediation</w:t>
            </w:r>
          </w:p>
          <w:p w:rsidR="00B749A5" w:rsidRPr="00AA61C8" w:rsidRDefault="00B749A5" w:rsidP="003A5D0A">
            <w:pPr>
              <w:jc w:val="both"/>
            </w:pPr>
          </w:p>
        </w:tc>
        <w:tc>
          <w:tcPr>
            <w:tcW w:w="997" w:type="dxa"/>
          </w:tcPr>
          <w:p w:rsidR="0040202E" w:rsidRPr="00AA61C8" w:rsidRDefault="0040202E" w:rsidP="003A5D0A">
            <w:pPr>
              <w:jc w:val="both"/>
            </w:pPr>
          </w:p>
        </w:tc>
        <w:tc>
          <w:tcPr>
            <w:tcW w:w="5529" w:type="dxa"/>
          </w:tcPr>
          <w:p w:rsidR="0040202E" w:rsidRDefault="00533395" w:rsidP="003A5D0A">
            <w:pPr>
              <w:jc w:val="both"/>
            </w:pPr>
            <w:r>
              <w:t xml:space="preserve">Refer to the NHSGGC Remediation Policy and Clinical Support Group Guidance which can be accessed through the Medical Staffing Intranet Page </w:t>
            </w:r>
            <w:r w:rsidRPr="00533395">
              <w:rPr>
                <w:i/>
              </w:rPr>
              <w:t>(</w:t>
            </w:r>
            <w:r w:rsidR="006E0BDE" w:rsidRPr="00533395">
              <w:rPr>
                <w:i/>
              </w:rPr>
              <w:t>web</w:t>
            </w:r>
            <w:r w:rsidR="00672AFA">
              <w:rPr>
                <w:i/>
              </w:rPr>
              <w:t xml:space="preserve"> </w:t>
            </w:r>
            <w:r w:rsidR="006E0BDE" w:rsidRPr="00533395">
              <w:rPr>
                <w:i/>
              </w:rPr>
              <w:t>link</w:t>
            </w:r>
            <w:r w:rsidRPr="00533395">
              <w:rPr>
                <w:i/>
              </w:rPr>
              <w:t xml:space="preserve"> below)</w:t>
            </w:r>
          </w:p>
          <w:p w:rsidR="00533395" w:rsidRPr="00AA61C8" w:rsidRDefault="00533395" w:rsidP="003A5D0A">
            <w:pPr>
              <w:jc w:val="both"/>
            </w:pPr>
          </w:p>
        </w:tc>
      </w:tr>
      <w:tr w:rsidR="00680ACC" w:rsidTr="004E2E8E">
        <w:tc>
          <w:tcPr>
            <w:tcW w:w="2972" w:type="dxa"/>
          </w:tcPr>
          <w:p w:rsidR="00680ACC" w:rsidRPr="00AA61C8" w:rsidRDefault="00680ACC" w:rsidP="00A51042">
            <w:pPr>
              <w:jc w:val="both"/>
            </w:pPr>
            <w:r>
              <w:t>T</w:t>
            </w:r>
            <w:r w:rsidR="00317C23">
              <w:t xml:space="preserve">he case is </w:t>
            </w:r>
            <w:r w:rsidR="00317C23" w:rsidRPr="00317C23">
              <w:rPr>
                <w:b/>
              </w:rPr>
              <w:t>Personal Misconduct</w:t>
            </w:r>
            <w:r w:rsidR="00317C23">
              <w:t xml:space="preserve"> and </w:t>
            </w:r>
            <w:r w:rsidR="00A51042">
              <w:t xml:space="preserve">requires further </w:t>
            </w:r>
            <w:r w:rsidR="00317C23">
              <w:t>investigat</w:t>
            </w:r>
            <w:r w:rsidR="00A51042">
              <w:t>ion</w:t>
            </w:r>
            <w:r w:rsidR="00317C23">
              <w:t xml:space="preserve"> under the NHSGGC Disciplinary Policy</w:t>
            </w:r>
          </w:p>
        </w:tc>
        <w:tc>
          <w:tcPr>
            <w:tcW w:w="997" w:type="dxa"/>
          </w:tcPr>
          <w:p w:rsidR="00680ACC" w:rsidRPr="00AA61C8" w:rsidRDefault="00680ACC" w:rsidP="003A5D0A">
            <w:pPr>
              <w:jc w:val="both"/>
            </w:pPr>
          </w:p>
        </w:tc>
        <w:tc>
          <w:tcPr>
            <w:tcW w:w="5529" w:type="dxa"/>
          </w:tcPr>
          <w:p w:rsidR="00680ACC" w:rsidRDefault="00317C23" w:rsidP="000E01D7">
            <w:pPr>
              <w:jc w:val="both"/>
              <w:rPr>
                <w:i/>
              </w:rPr>
            </w:pPr>
            <w:r w:rsidRPr="00AA61C8">
              <w:rPr>
                <w:i/>
              </w:rPr>
              <w:t xml:space="preserve">Please </w:t>
            </w:r>
            <w:r>
              <w:rPr>
                <w:i/>
              </w:rPr>
              <w:t>complete</w:t>
            </w:r>
            <w:r w:rsidR="00FF31F3">
              <w:rPr>
                <w:i/>
              </w:rPr>
              <w:t xml:space="preserve"> Terms of Reference Template </w:t>
            </w:r>
          </w:p>
          <w:p w:rsidR="007414ED" w:rsidRDefault="007414ED" w:rsidP="000E01D7">
            <w:pPr>
              <w:jc w:val="both"/>
              <w:rPr>
                <w:i/>
              </w:rPr>
            </w:pPr>
          </w:p>
          <w:p w:rsidR="007414ED" w:rsidRDefault="00B749A5" w:rsidP="000E01D7">
            <w:pPr>
              <w:jc w:val="both"/>
              <w:rPr>
                <w:b/>
              </w:rPr>
            </w:pPr>
            <w:r w:rsidRPr="00B749A5">
              <w:rPr>
                <w:b/>
              </w:rPr>
              <w:t>Personal Conduct is defined as performance or behaviour of practitioners not associated with the exercise of medical or dental skills</w:t>
            </w:r>
          </w:p>
          <w:p w:rsidR="00601C2C" w:rsidRDefault="00601C2C" w:rsidP="000E01D7">
            <w:pPr>
              <w:jc w:val="both"/>
              <w:rPr>
                <w:b/>
              </w:rPr>
            </w:pPr>
          </w:p>
          <w:p w:rsidR="00601C2C" w:rsidRPr="00B749A5" w:rsidRDefault="00601C2C" w:rsidP="000E01D7">
            <w:pPr>
              <w:jc w:val="both"/>
              <w:rPr>
                <w:b/>
              </w:rPr>
            </w:pPr>
            <w:r>
              <w:rPr>
                <w:i/>
              </w:rPr>
              <w:t>NB the practitioner has 7 days to appeal this classification PCS (DD)2001/9</w:t>
            </w:r>
          </w:p>
          <w:p w:rsidR="00B749A5" w:rsidRPr="00AA61C8" w:rsidRDefault="00B749A5" w:rsidP="000E01D7">
            <w:pPr>
              <w:jc w:val="both"/>
            </w:pPr>
          </w:p>
        </w:tc>
      </w:tr>
      <w:tr w:rsidR="0040202E" w:rsidTr="00680ACC">
        <w:trPr>
          <w:trHeight w:val="776"/>
        </w:trPr>
        <w:tc>
          <w:tcPr>
            <w:tcW w:w="2972" w:type="dxa"/>
          </w:tcPr>
          <w:p w:rsidR="0040202E" w:rsidRPr="00AA61C8" w:rsidRDefault="00355579" w:rsidP="00355579">
            <w:pPr>
              <w:jc w:val="both"/>
            </w:pPr>
            <w:r>
              <w:t xml:space="preserve">The case is </w:t>
            </w:r>
            <w:r w:rsidRPr="00317C23">
              <w:rPr>
                <w:b/>
              </w:rPr>
              <w:t>Professional Conduct</w:t>
            </w:r>
            <w:r>
              <w:rPr>
                <w:b/>
              </w:rPr>
              <w:t>/</w:t>
            </w:r>
            <w:r w:rsidRPr="00317C23">
              <w:rPr>
                <w:b/>
              </w:rPr>
              <w:t>Professional Competence</w:t>
            </w:r>
            <w:r w:rsidRPr="00AA61C8">
              <w:t xml:space="preserve"> </w:t>
            </w:r>
            <w:r>
              <w:t xml:space="preserve">and </w:t>
            </w:r>
            <w:r w:rsidR="0040202E" w:rsidRPr="00AA61C8">
              <w:t xml:space="preserve">requires </w:t>
            </w:r>
            <w:r w:rsidR="00317C23">
              <w:t xml:space="preserve">further </w:t>
            </w:r>
            <w:r w:rsidR="0040202E" w:rsidRPr="00AA61C8">
              <w:t xml:space="preserve">formal investigation </w:t>
            </w:r>
            <w:r w:rsidR="00680ACC">
              <w:t>to determine how to proceed</w:t>
            </w:r>
            <w:r w:rsidR="00317C23">
              <w:t xml:space="preserve"> </w:t>
            </w:r>
          </w:p>
        </w:tc>
        <w:tc>
          <w:tcPr>
            <w:tcW w:w="997" w:type="dxa"/>
          </w:tcPr>
          <w:p w:rsidR="0040202E" w:rsidRPr="00AA61C8" w:rsidRDefault="0040202E" w:rsidP="003A5D0A">
            <w:pPr>
              <w:jc w:val="both"/>
            </w:pPr>
          </w:p>
        </w:tc>
        <w:tc>
          <w:tcPr>
            <w:tcW w:w="5529" w:type="dxa"/>
          </w:tcPr>
          <w:p w:rsidR="00FF31F3" w:rsidRDefault="00FF31F3" w:rsidP="00FF31F3">
            <w:pPr>
              <w:jc w:val="both"/>
              <w:rPr>
                <w:i/>
              </w:rPr>
            </w:pPr>
            <w:r w:rsidRPr="00AA61C8">
              <w:rPr>
                <w:i/>
              </w:rPr>
              <w:t xml:space="preserve">Please </w:t>
            </w:r>
            <w:r>
              <w:rPr>
                <w:i/>
              </w:rPr>
              <w:t xml:space="preserve">complete Terms of Reference Template </w:t>
            </w:r>
          </w:p>
          <w:p w:rsidR="00B749A5" w:rsidRDefault="00B749A5" w:rsidP="000E01D7">
            <w:pPr>
              <w:jc w:val="both"/>
              <w:rPr>
                <w:i/>
              </w:rPr>
            </w:pPr>
          </w:p>
          <w:p w:rsidR="00B749A5" w:rsidRDefault="00B749A5" w:rsidP="000E01D7">
            <w:pPr>
              <w:jc w:val="both"/>
              <w:rPr>
                <w:b/>
              </w:rPr>
            </w:pPr>
            <w:r w:rsidRPr="00B749A5">
              <w:rPr>
                <w:b/>
              </w:rPr>
              <w:t>Professional Conduct is defined as performance or behaviour of practitioners arising from the exercise of their medical or dental skills</w:t>
            </w:r>
          </w:p>
          <w:p w:rsidR="00B749A5" w:rsidRDefault="00B749A5" w:rsidP="000E01D7">
            <w:pPr>
              <w:jc w:val="both"/>
              <w:rPr>
                <w:b/>
              </w:rPr>
            </w:pPr>
          </w:p>
          <w:p w:rsidR="00B749A5" w:rsidRPr="00B749A5" w:rsidRDefault="00B749A5" w:rsidP="000E01D7">
            <w:pPr>
              <w:jc w:val="both"/>
              <w:rPr>
                <w:b/>
              </w:rPr>
            </w:pPr>
            <w:r>
              <w:rPr>
                <w:b/>
              </w:rPr>
              <w:t>Professional Competence is defined as adequacy of performance of practitioners related to the exercise of their medical or dental skills and professional judgement</w:t>
            </w:r>
          </w:p>
          <w:p w:rsidR="007414ED" w:rsidRDefault="007414ED" w:rsidP="00680ACC">
            <w:pPr>
              <w:jc w:val="both"/>
              <w:rPr>
                <w:i/>
              </w:rPr>
            </w:pPr>
          </w:p>
          <w:p w:rsidR="00680ACC" w:rsidRPr="00680ACC" w:rsidRDefault="00680ACC" w:rsidP="007414ED">
            <w:pPr>
              <w:jc w:val="both"/>
            </w:pPr>
          </w:p>
        </w:tc>
      </w:tr>
      <w:tr w:rsidR="0040202E" w:rsidTr="004E2E8E">
        <w:tc>
          <w:tcPr>
            <w:tcW w:w="2972" w:type="dxa"/>
          </w:tcPr>
          <w:p w:rsidR="0040202E" w:rsidRDefault="0040202E" w:rsidP="003A5D0A">
            <w:pPr>
              <w:jc w:val="both"/>
            </w:pPr>
            <w:r w:rsidRPr="00AA61C8">
              <w:t>The case should be dealt with under the procedure for sick doctors</w:t>
            </w:r>
            <w:r w:rsidR="001471BF" w:rsidRPr="00AA61C8">
              <w:t xml:space="preserve"> NHS 1982 (PCS 8)</w:t>
            </w:r>
          </w:p>
          <w:p w:rsidR="00B749A5" w:rsidRPr="00AA61C8" w:rsidRDefault="00B749A5" w:rsidP="003A5D0A">
            <w:pPr>
              <w:jc w:val="both"/>
            </w:pPr>
          </w:p>
        </w:tc>
        <w:tc>
          <w:tcPr>
            <w:tcW w:w="997" w:type="dxa"/>
          </w:tcPr>
          <w:p w:rsidR="0040202E" w:rsidRPr="00AA61C8" w:rsidRDefault="0040202E" w:rsidP="003A5D0A">
            <w:pPr>
              <w:jc w:val="both"/>
            </w:pPr>
          </w:p>
        </w:tc>
        <w:tc>
          <w:tcPr>
            <w:tcW w:w="5529" w:type="dxa"/>
          </w:tcPr>
          <w:p w:rsidR="0040202E" w:rsidRPr="00AA61C8" w:rsidRDefault="001471BF" w:rsidP="003A5D0A">
            <w:pPr>
              <w:jc w:val="both"/>
            </w:pPr>
            <w:r w:rsidRPr="00AA61C8">
              <w:t>Arrange referral to Occupational Health</w:t>
            </w:r>
          </w:p>
        </w:tc>
      </w:tr>
      <w:tr w:rsidR="0040202E" w:rsidTr="004E2E8E">
        <w:tc>
          <w:tcPr>
            <w:tcW w:w="2972" w:type="dxa"/>
          </w:tcPr>
          <w:p w:rsidR="0040202E" w:rsidRPr="00AA61C8" w:rsidRDefault="001471BF" w:rsidP="003A5D0A">
            <w:pPr>
              <w:jc w:val="both"/>
            </w:pPr>
            <w:r w:rsidRPr="00AA61C8">
              <w:t>The doctor(s) should be suspended with immediate effect</w:t>
            </w:r>
          </w:p>
        </w:tc>
        <w:tc>
          <w:tcPr>
            <w:tcW w:w="997" w:type="dxa"/>
          </w:tcPr>
          <w:p w:rsidR="0040202E" w:rsidRPr="00AA61C8" w:rsidRDefault="0040202E" w:rsidP="003A5D0A">
            <w:pPr>
              <w:jc w:val="both"/>
            </w:pPr>
          </w:p>
        </w:tc>
        <w:tc>
          <w:tcPr>
            <w:tcW w:w="5529" w:type="dxa"/>
          </w:tcPr>
          <w:p w:rsidR="004E2E8E" w:rsidRDefault="004E2E8E" w:rsidP="003A5D0A">
            <w:pPr>
              <w:jc w:val="both"/>
            </w:pPr>
            <w:r w:rsidRPr="00AA61C8">
              <w:t xml:space="preserve">Notify Responsible Officer of </w:t>
            </w:r>
            <w:r>
              <w:t xml:space="preserve">pending </w:t>
            </w:r>
            <w:r w:rsidRPr="00AA61C8">
              <w:t>suspension</w:t>
            </w:r>
          </w:p>
          <w:p w:rsidR="004E2E8E" w:rsidRDefault="004E2E8E" w:rsidP="003A5D0A">
            <w:pPr>
              <w:jc w:val="both"/>
            </w:pPr>
          </w:p>
          <w:p w:rsidR="000975E2" w:rsidRDefault="000975E2" w:rsidP="003A5D0A">
            <w:pPr>
              <w:jc w:val="both"/>
            </w:pPr>
            <w:r w:rsidRPr="00AA61C8">
              <w:t>Contact People &amp; Change Manager for advice on how to proceed.</w:t>
            </w:r>
          </w:p>
          <w:p w:rsidR="00B749A5" w:rsidRPr="00AA61C8" w:rsidRDefault="00B749A5" w:rsidP="003A5D0A">
            <w:pPr>
              <w:jc w:val="both"/>
            </w:pPr>
          </w:p>
        </w:tc>
      </w:tr>
    </w:tbl>
    <w:p w:rsidR="003A5D0A" w:rsidRDefault="003A5D0A" w:rsidP="003A5D0A">
      <w:pPr>
        <w:jc w:val="both"/>
        <w:rPr>
          <w:b/>
        </w:rPr>
      </w:pPr>
    </w:p>
    <w:p w:rsidR="00B749A5" w:rsidRDefault="00B749A5" w:rsidP="003A5D0A">
      <w:pPr>
        <w:jc w:val="both"/>
        <w:rPr>
          <w:b/>
        </w:rPr>
      </w:pPr>
    </w:p>
    <w:p w:rsidR="00FF31F3" w:rsidRDefault="00FF31F3" w:rsidP="003A5D0A">
      <w:pPr>
        <w:jc w:val="both"/>
        <w:rPr>
          <w:b/>
        </w:rPr>
      </w:pPr>
    </w:p>
    <w:tbl>
      <w:tblPr>
        <w:tblStyle w:val="TableGrid"/>
        <w:tblW w:w="9498" w:type="dxa"/>
        <w:tblInd w:w="108" w:type="dxa"/>
        <w:tblLook w:val="04A0"/>
      </w:tblPr>
      <w:tblGrid>
        <w:gridCol w:w="9498"/>
      </w:tblGrid>
      <w:tr w:rsidR="001471BF" w:rsidTr="004E2E8E">
        <w:tc>
          <w:tcPr>
            <w:tcW w:w="9498" w:type="dxa"/>
            <w:shd w:val="clear" w:color="auto" w:fill="D9D9D9" w:themeFill="background1" w:themeFillShade="D9"/>
          </w:tcPr>
          <w:p w:rsidR="001471BF" w:rsidRDefault="001471BF" w:rsidP="004E2E8E">
            <w:pPr>
              <w:jc w:val="both"/>
              <w:rPr>
                <w:b/>
              </w:rPr>
            </w:pPr>
            <w:r>
              <w:rPr>
                <w:b/>
              </w:rPr>
              <w:t>Comments/rationale in reaching above decision</w:t>
            </w:r>
            <w:r w:rsidR="000E01D7">
              <w:rPr>
                <w:b/>
              </w:rPr>
              <w:t xml:space="preserve"> (including </w:t>
            </w:r>
            <w:r w:rsidR="004E2E8E">
              <w:rPr>
                <w:b/>
              </w:rPr>
              <w:t>n</w:t>
            </w:r>
            <w:r w:rsidR="000E01D7">
              <w:rPr>
                <w:b/>
              </w:rPr>
              <w:t>o action)</w:t>
            </w:r>
          </w:p>
        </w:tc>
      </w:tr>
      <w:tr w:rsidR="001471BF" w:rsidTr="004E2E8E">
        <w:tc>
          <w:tcPr>
            <w:tcW w:w="9498" w:type="dxa"/>
          </w:tcPr>
          <w:p w:rsidR="001471BF" w:rsidRDefault="001471BF" w:rsidP="003A5D0A">
            <w:pPr>
              <w:jc w:val="both"/>
              <w:rPr>
                <w:b/>
              </w:rPr>
            </w:pPr>
          </w:p>
          <w:p w:rsidR="001471BF" w:rsidRDefault="001471BF" w:rsidP="003A5D0A">
            <w:pPr>
              <w:jc w:val="both"/>
              <w:rPr>
                <w:b/>
              </w:rPr>
            </w:pPr>
          </w:p>
          <w:p w:rsidR="001471BF" w:rsidRDefault="001471BF" w:rsidP="003A5D0A">
            <w:pPr>
              <w:jc w:val="both"/>
              <w:rPr>
                <w:b/>
              </w:rPr>
            </w:pPr>
          </w:p>
          <w:p w:rsidR="001471BF" w:rsidRDefault="001471BF" w:rsidP="003A5D0A">
            <w:pPr>
              <w:jc w:val="both"/>
              <w:rPr>
                <w:b/>
              </w:rPr>
            </w:pPr>
          </w:p>
          <w:p w:rsidR="003E145C" w:rsidRDefault="003E145C" w:rsidP="003A5D0A">
            <w:pPr>
              <w:jc w:val="both"/>
              <w:rPr>
                <w:b/>
              </w:rPr>
            </w:pPr>
          </w:p>
          <w:p w:rsidR="003E145C" w:rsidRDefault="003E145C" w:rsidP="003A5D0A">
            <w:pPr>
              <w:jc w:val="both"/>
              <w:rPr>
                <w:b/>
              </w:rPr>
            </w:pPr>
          </w:p>
          <w:p w:rsidR="003E145C" w:rsidRDefault="003E145C" w:rsidP="003A5D0A">
            <w:pPr>
              <w:jc w:val="both"/>
              <w:rPr>
                <w:b/>
              </w:rPr>
            </w:pPr>
          </w:p>
          <w:p w:rsidR="00AA61C8" w:rsidRDefault="00AA61C8" w:rsidP="003A5D0A">
            <w:pPr>
              <w:jc w:val="both"/>
              <w:rPr>
                <w:b/>
              </w:rPr>
            </w:pPr>
          </w:p>
          <w:p w:rsidR="00214CF8" w:rsidRDefault="00214CF8" w:rsidP="003A5D0A">
            <w:pPr>
              <w:jc w:val="both"/>
              <w:rPr>
                <w:b/>
              </w:rPr>
            </w:pPr>
          </w:p>
          <w:p w:rsidR="00AA61C8" w:rsidRDefault="00AA61C8" w:rsidP="003A5D0A">
            <w:pPr>
              <w:jc w:val="both"/>
              <w:rPr>
                <w:b/>
              </w:rPr>
            </w:pPr>
          </w:p>
          <w:p w:rsidR="004E2E8E" w:rsidRDefault="004E2E8E" w:rsidP="003A5D0A">
            <w:pPr>
              <w:jc w:val="both"/>
              <w:rPr>
                <w:b/>
              </w:rPr>
            </w:pPr>
          </w:p>
          <w:p w:rsidR="001471BF" w:rsidRDefault="001471BF" w:rsidP="003A5D0A">
            <w:pPr>
              <w:jc w:val="both"/>
              <w:rPr>
                <w:b/>
              </w:rPr>
            </w:pPr>
          </w:p>
        </w:tc>
      </w:tr>
      <w:tr w:rsidR="00AA61C8" w:rsidTr="004E2E8E">
        <w:trPr>
          <w:trHeight w:val="271"/>
        </w:trPr>
        <w:tc>
          <w:tcPr>
            <w:tcW w:w="9498" w:type="dxa"/>
            <w:shd w:val="clear" w:color="auto" w:fill="D9D9D9" w:themeFill="background1" w:themeFillShade="D9"/>
          </w:tcPr>
          <w:p w:rsidR="00AA61C8" w:rsidRDefault="00AA61C8" w:rsidP="004E2E8E">
            <w:pPr>
              <w:jc w:val="both"/>
              <w:rPr>
                <w:b/>
              </w:rPr>
            </w:pPr>
            <w:r>
              <w:rPr>
                <w:b/>
              </w:rPr>
              <w:t>Authorised by Chief of Medicine</w:t>
            </w:r>
            <w:r w:rsidR="004E2E8E">
              <w:rPr>
                <w:b/>
              </w:rPr>
              <w:t>:</w:t>
            </w:r>
          </w:p>
        </w:tc>
      </w:tr>
      <w:tr w:rsidR="00AA61C8" w:rsidTr="004E2E8E">
        <w:trPr>
          <w:trHeight w:val="418"/>
        </w:trPr>
        <w:tc>
          <w:tcPr>
            <w:tcW w:w="9498" w:type="dxa"/>
          </w:tcPr>
          <w:p w:rsidR="00AA61C8" w:rsidRDefault="004E2E8E" w:rsidP="00AA61C8">
            <w:pPr>
              <w:jc w:val="both"/>
              <w:rPr>
                <w:b/>
              </w:rPr>
            </w:pPr>
            <w:r>
              <w:rPr>
                <w:b/>
              </w:rPr>
              <w:t>Name:</w:t>
            </w:r>
          </w:p>
          <w:p w:rsidR="00FB105E" w:rsidRDefault="00FB105E" w:rsidP="00AA61C8">
            <w:pPr>
              <w:jc w:val="both"/>
              <w:rPr>
                <w:b/>
              </w:rPr>
            </w:pPr>
          </w:p>
        </w:tc>
      </w:tr>
      <w:tr w:rsidR="004E2E8E" w:rsidTr="004E2E8E">
        <w:trPr>
          <w:trHeight w:val="418"/>
        </w:trPr>
        <w:tc>
          <w:tcPr>
            <w:tcW w:w="9498" w:type="dxa"/>
          </w:tcPr>
          <w:p w:rsidR="004E2E8E" w:rsidRDefault="004E2E8E" w:rsidP="00AA61C8">
            <w:pPr>
              <w:jc w:val="both"/>
              <w:rPr>
                <w:b/>
              </w:rPr>
            </w:pPr>
            <w:r>
              <w:rPr>
                <w:b/>
              </w:rPr>
              <w:t>Date:</w:t>
            </w:r>
          </w:p>
          <w:p w:rsidR="00FB105E" w:rsidRDefault="00FB105E" w:rsidP="00AA61C8">
            <w:pPr>
              <w:jc w:val="both"/>
              <w:rPr>
                <w:b/>
              </w:rPr>
            </w:pPr>
          </w:p>
        </w:tc>
      </w:tr>
    </w:tbl>
    <w:p w:rsidR="00355579" w:rsidRDefault="00355579" w:rsidP="003A5D0A">
      <w:pPr>
        <w:jc w:val="both"/>
        <w:rPr>
          <w:b/>
        </w:rPr>
      </w:pPr>
    </w:p>
    <w:p w:rsidR="003E145C" w:rsidRDefault="003E145C" w:rsidP="003E145C">
      <w:pPr>
        <w:jc w:val="both"/>
        <w:rPr>
          <w:b/>
        </w:rPr>
      </w:pPr>
      <w:r>
        <w:rPr>
          <w:b/>
        </w:rPr>
        <w:t>For further guidance on Managing Conduct and Competence Issues please see link below:-</w:t>
      </w:r>
    </w:p>
    <w:p w:rsidR="003E145C" w:rsidRDefault="00D32C73" w:rsidP="003A5D0A">
      <w:pPr>
        <w:jc w:val="both"/>
        <w:rPr>
          <w:b/>
        </w:rPr>
      </w:pPr>
      <w:hyperlink r:id="rId7" w:history="1">
        <w:r w:rsidR="003E145C" w:rsidRPr="00533395">
          <w:rPr>
            <w:rStyle w:val="Hyperlink"/>
            <w:b/>
          </w:rPr>
          <w:t>http://www.staffnet.ggc.scot.nhs.uk/Human%20Resources/Medical%20Staffing/Pages/ManagingConductandCompetenceIssues–ConsultantSASGrades.aspx</w:t>
        </w:r>
      </w:hyperlink>
    </w:p>
    <w:p w:rsidR="003E145C" w:rsidRDefault="003E145C" w:rsidP="003A5D0A">
      <w:pPr>
        <w:jc w:val="both"/>
        <w:rPr>
          <w:b/>
        </w:rPr>
      </w:pPr>
    </w:p>
    <w:p w:rsidR="003E145C" w:rsidRDefault="003E145C" w:rsidP="003A5D0A">
      <w:pPr>
        <w:jc w:val="both"/>
        <w:rPr>
          <w:b/>
        </w:rPr>
      </w:pPr>
    </w:p>
    <w:p w:rsidR="003E145C" w:rsidRDefault="003E145C" w:rsidP="003A5D0A">
      <w:pPr>
        <w:jc w:val="both"/>
        <w:rPr>
          <w:b/>
        </w:rPr>
      </w:pPr>
    </w:p>
    <w:p w:rsidR="003E145C" w:rsidRDefault="003E145C" w:rsidP="003A5D0A">
      <w:pPr>
        <w:jc w:val="both"/>
        <w:rPr>
          <w:b/>
        </w:rPr>
      </w:pPr>
    </w:p>
    <w:p w:rsidR="003E145C" w:rsidRDefault="003E145C" w:rsidP="003A5D0A">
      <w:pPr>
        <w:jc w:val="both"/>
        <w:rPr>
          <w:b/>
        </w:rPr>
      </w:pPr>
    </w:p>
    <w:p w:rsidR="003E145C" w:rsidRDefault="003E145C" w:rsidP="003A5D0A">
      <w:pPr>
        <w:jc w:val="both"/>
        <w:rPr>
          <w:b/>
        </w:rPr>
      </w:pPr>
    </w:p>
    <w:p w:rsidR="003E145C" w:rsidRDefault="003E145C" w:rsidP="003A5D0A">
      <w:pPr>
        <w:jc w:val="both"/>
        <w:rPr>
          <w:b/>
        </w:rPr>
      </w:pPr>
    </w:p>
    <w:p w:rsidR="003E145C" w:rsidRDefault="003E145C" w:rsidP="003A5D0A">
      <w:pPr>
        <w:jc w:val="both"/>
        <w:rPr>
          <w:b/>
        </w:rPr>
      </w:pPr>
    </w:p>
    <w:p w:rsidR="003E145C" w:rsidRDefault="003E145C" w:rsidP="003A5D0A">
      <w:pPr>
        <w:jc w:val="both"/>
        <w:rPr>
          <w:b/>
        </w:rPr>
      </w:pPr>
    </w:p>
    <w:p w:rsidR="00533395" w:rsidRPr="008C2BD1" w:rsidRDefault="00533395">
      <w:pPr>
        <w:jc w:val="both"/>
        <w:rPr>
          <w:b/>
          <w:color w:val="FF0000"/>
        </w:rPr>
      </w:pPr>
    </w:p>
    <w:sectPr w:rsidR="00533395" w:rsidRPr="008C2BD1" w:rsidSect="00A510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579" w:rsidRDefault="00355579" w:rsidP="009C5AAD">
      <w:pPr>
        <w:spacing w:after="0" w:line="240" w:lineRule="auto"/>
      </w:pPr>
      <w:r>
        <w:separator/>
      </w:r>
    </w:p>
  </w:endnote>
  <w:endnote w:type="continuationSeparator" w:id="0">
    <w:p w:rsidR="00355579" w:rsidRDefault="00355579" w:rsidP="009C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579" w:rsidRDefault="003555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95340"/>
      <w:docPartObj>
        <w:docPartGallery w:val="Page Numbers (Bottom of Page)"/>
        <w:docPartUnique/>
      </w:docPartObj>
    </w:sdtPr>
    <w:sdtContent>
      <w:p w:rsidR="00355579" w:rsidRDefault="00D32C73">
        <w:pPr>
          <w:pStyle w:val="Footer"/>
          <w:jc w:val="right"/>
        </w:pPr>
        <w:fldSimple w:instr=" PAGE   \* MERGEFORMAT ">
          <w:r w:rsidR="00B67512">
            <w:rPr>
              <w:noProof/>
            </w:rPr>
            <w:t>1</w:t>
          </w:r>
        </w:fldSimple>
      </w:p>
    </w:sdtContent>
  </w:sdt>
  <w:p w:rsidR="00355579" w:rsidRDefault="003555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579" w:rsidRDefault="003555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579" w:rsidRDefault="00355579" w:rsidP="009C5AAD">
      <w:pPr>
        <w:spacing w:after="0" w:line="240" w:lineRule="auto"/>
      </w:pPr>
      <w:r>
        <w:separator/>
      </w:r>
    </w:p>
  </w:footnote>
  <w:footnote w:type="continuationSeparator" w:id="0">
    <w:p w:rsidR="00355579" w:rsidRDefault="00355579" w:rsidP="009C5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579" w:rsidRDefault="003555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579" w:rsidRDefault="003555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579" w:rsidRDefault="003555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71AB8"/>
    <w:rsid w:val="00033638"/>
    <w:rsid w:val="000916B8"/>
    <w:rsid w:val="000975E2"/>
    <w:rsid w:val="000E01D7"/>
    <w:rsid w:val="000E7090"/>
    <w:rsid w:val="001471BF"/>
    <w:rsid w:val="00180693"/>
    <w:rsid w:val="00186100"/>
    <w:rsid w:val="001B4E8B"/>
    <w:rsid w:val="00212A6E"/>
    <w:rsid w:val="00214CF8"/>
    <w:rsid w:val="0024572E"/>
    <w:rsid w:val="00271AB8"/>
    <w:rsid w:val="002B0E08"/>
    <w:rsid w:val="00317C23"/>
    <w:rsid w:val="00355579"/>
    <w:rsid w:val="003A5D0A"/>
    <w:rsid w:val="003C30E1"/>
    <w:rsid w:val="003E145C"/>
    <w:rsid w:val="0040202E"/>
    <w:rsid w:val="004E2E8E"/>
    <w:rsid w:val="004F2E5A"/>
    <w:rsid w:val="005208D0"/>
    <w:rsid w:val="00533395"/>
    <w:rsid w:val="00544797"/>
    <w:rsid w:val="00547681"/>
    <w:rsid w:val="00593B3E"/>
    <w:rsid w:val="005A2FBE"/>
    <w:rsid w:val="00601C2C"/>
    <w:rsid w:val="00647E4E"/>
    <w:rsid w:val="00672AFA"/>
    <w:rsid w:val="00672E1A"/>
    <w:rsid w:val="00680ACC"/>
    <w:rsid w:val="006C4816"/>
    <w:rsid w:val="006D28EC"/>
    <w:rsid w:val="006E0BDE"/>
    <w:rsid w:val="007414ED"/>
    <w:rsid w:val="00762007"/>
    <w:rsid w:val="007834E9"/>
    <w:rsid w:val="007D7055"/>
    <w:rsid w:val="007E09E8"/>
    <w:rsid w:val="008265E7"/>
    <w:rsid w:val="008C2BD1"/>
    <w:rsid w:val="008D4DB0"/>
    <w:rsid w:val="00923A64"/>
    <w:rsid w:val="00971A5C"/>
    <w:rsid w:val="00974DEF"/>
    <w:rsid w:val="009C5AAD"/>
    <w:rsid w:val="00A23327"/>
    <w:rsid w:val="00A51042"/>
    <w:rsid w:val="00A66B0C"/>
    <w:rsid w:val="00AA61C8"/>
    <w:rsid w:val="00AE0F3E"/>
    <w:rsid w:val="00B67512"/>
    <w:rsid w:val="00B71605"/>
    <w:rsid w:val="00B749A5"/>
    <w:rsid w:val="00BE09A6"/>
    <w:rsid w:val="00CB5CD5"/>
    <w:rsid w:val="00D12E07"/>
    <w:rsid w:val="00D32C73"/>
    <w:rsid w:val="00DF7537"/>
    <w:rsid w:val="00E26E88"/>
    <w:rsid w:val="00F404F0"/>
    <w:rsid w:val="00FB105E"/>
    <w:rsid w:val="00FE7051"/>
    <w:rsid w:val="00FF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C5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AAD"/>
  </w:style>
  <w:style w:type="paragraph" w:styleId="Footer">
    <w:name w:val="footer"/>
    <w:basedOn w:val="Normal"/>
    <w:link w:val="FooterChar"/>
    <w:uiPriority w:val="99"/>
    <w:unhideWhenUsed/>
    <w:rsid w:val="009C5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AAD"/>
  </w:style>
  <w:style w:type="character" w:styleId="Hyperlink">
    <w:name w:val="Hyperlink"/>
    <w:basedOn w:val="DefaultParagraphFont"/>
    <w:uiPriority w:val="99"/>
    <w:unhideWhenUsed/>
    <w:rsid w:val="005333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7055"/>
    <w:pPr>
      <w:spacing w:after="133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taffnet.ggc.scot.nhs.uk/Human%20Resources/Medical%20Staffing/Pages/ManagingConductandCompetenceIssues&#8211;ConsultantSASGrades.a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C3ECE-3405-4D59-A478-AA905464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coopean829</dc:creator>
  <cp:lastModifiedBy>kellymo568</cp:lastModifiedBy>
  <cp:revision>2</cp:revision>
  <cp:lastPrinted>2016-04-13T15:00:00Z</cp:lastPrinted>
  <dcterms:created xsi:type="dcterms:W3CDTF">2019-05-08T10:03:00Z</dcterms:created>
  <dcterms:modified xsi:type="dcterms:W3CDTF">2019-05-08T10:03:00Z</dcterms:modified>
</cp:coreProperties>
</file>