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13" w:rsidRDefault="00193A10">
      <w:pPr>
        <w:rPr>
          <w:b/>
          <w:sz w:val="24"/>
          <w:szCs w:val="24"/>
        </w:rPr>
      </w:pPr>
      <w:r w:rsidRPr="00193A10">
        <w:rPr>
          <w:b/>
          <w:sz w:val="24"/>
          <w:szCs w:val="24"/>
        </w:rPr>
        <w:t>NHS Greater Glasgow &amp; Clyde</w:t>
      </w:r>
    </w:p>
    <w:p w:rsidR="00831913" w:rsidRDefault="00831913">
      <w:pPr>
        <w:rPr>
          <w:b/>
          <w:sz w:val="24"/>
          <w:szCs w:val="24"/>
        </w:rPr>
      </w:pPr>
    </w:p>
    <w:p w:rsidR="00831913" w:rsidRPr="00193A10" w:rsidRDefault="008319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Managing Conduct and Competence </w:t>
      </w:r>
      <w:r w:rsidR="00226C7F">
        <w:rPr>
          <w:b/>
          <w:sz w:val="24"/>
          <w:szCs w:val="24"/>
        </w:rPr>
        <w:t>for Medical &amp; Dental Career Grades</w:t>
      </w:r>
      <w:r>
        <w:rPr>
          <w:b/>
          <w:sz w:val="24"/>
          <w:szCs w:val="24"/>
        </w:rPr>
        <w:t xml:space="preserve"> </w:t>
      </w:r>
      <w:r w:rsidR="00EA0A9E">
        <w:rPr>
          <w:b/>
          <w:sz w:val="24"/>
          <w:szCs w:val="24"/>
        </w:rPr>
        <w:t>(Consultants, SDAS Grades &amp; Clinical Fellows)</w:t>
      </w:r>
    </w:p>
    <w:p w:rsidR="00193A10" w:rsidRPr="00193A10" w:rsidRDefault="00193A10">
      <w:pPr>
        <w:rPr>
          <w:b/>
          <w:sz w:val="24"/>
          <w:szCs w:val="24"/>
        </w:rPr>
      </w:pPr>
    </w:p>
    <w:p w:rsidR="00193A10" w:rsidRPr="00193A10" w:rsidRDefault="00193A10">
      <w:pPr>
        <w:rPr>
          <w:b/>
          <w:sz w:val="24"/>
          <w:szCs w:val="24"/>
        </w:rPr>
      </w:pPr>
      <w:r w:rsidRPr="00193A10">
        <w:rPr>
          <w:b/>
          <w:sz w:val="24"/>
          <w:szCs w:val="24"/>
        </w:rPr>
        <w:t>Guidance on conducting a Preliminary Enquiry</w:t>
      </w:r>
    </w:p>
    <w:p w:rsidR="00193A10" w:rsidRDefault="00193A10"/>
    <w:p w:rsidR="00193A10" w:rsidRDefault="00193A10">
      <w:pPr>
        <w:rPr>
          <w:b/>
        </w:rPr>
      </w:pPr>
      <w:r w:rsidRPr="00193A10">
        <w:rPr>
          <w:b/>
        </w:rPr>
        <w:t>What is a Preliminary Enquiry (PE)?</w:t>
      </w:r>
    </w:p>
    <w:p w:rsidR="0089749E" w:rsidRDefault="0089749E">
      <w:pPr>
        <w:rPr>
          <w:b/>
        </w:rPr>
      </w:pPr>
    </w:p>
    <w:p w:rsidR="0089749E" w:rsidRPr="00902ECE" w:rsidRDefault="00271164">
      <w:r>
        <w:t>Where</w:t>
      </w:r>
      <w:r w:rsidR="0089749E" w:rsidRPr="00902ECE">
        <w:t xml:space="preserve"> information is received or </w:t>
      </w:r>
      <w:r w:rsidR="00902ECE">
        <w:t>a</w:t>
      </w:r>
      <w:r w:rsidR="00DC12BA">
        <w:t>n</w:t>
      </w:r>
      <w:r w:rsidR="00902ECE">
        <w:t xml:space="preserve"> allegation</w:t>
      </w:r>
      <w:r w:rsidR="00DC12BA">
        <w:t>/concern raised</w:t>
      </w:r>
      <w:r w:rsidR="0089749E" w:rsidRPr="00902ECE">
        <w:t xml:space="preserve"> </w:t>
      </w:r>
      <w:r w:rsidR="00831913">
        <w:t xml:space="preserve">against a Career Grade Doctor or Dentist, </w:t>
      </w:r>
      <w:r w:rsidR="00FC13EC">
        <w:t xml:space="preserve">which cannot be resolved </w:t>
      </w:r>
      <w:r w:rsidR="0089749E" w:rsidRPr="00902ECE">
        <w:t>informally by the Clinical Director, the matter should be referred to the Chief of Medicine/Lead Associate Medical Director (Partnerships) to instigate a preliminary enquiry (PE)</w:t>
      </w:r>
      <w:r>
        <w:t>.</w:t>
      </w:r>
    </w:p>
    <w:p w:rsidR="00193A10" w:rsidRDefault="00193A10">
      <w:pPr>
        <w:rPr>
          <w:b/>
        </w:rPr>
      </w:pPr>
    </w:p>
    <w:p w:rsidR="0089749E" w:rsidRDefault="00193A10">
      <w:r w:rsidRPr="00193A10">
        <w:t>A PE is a</w:t>
      </w:r>
      <w:r w:rsidR="00C226A5">
        <w:t>n informal</w:t>
      </w:r>
      <w:r w:rsidRPr="00193A10">
        <w:t xml:space="preserve"> exercise to </w:t>
      </w:r>
      <w:r w:rsidR="0089749E">
        <w:t xml:space="preserve">ascertain the substance and seriousness of the concern </w:t>
      </w:r>
      <w:r w:rsidR="00902ECE">
        <w:t xml:space="preserve">prior to determining the direction and scope of any </w:t>
      </w:r>
      <w:r w:rsidR="00EA0A9E">
        <w:t xml:space="preserve">future </w:t>
      </w:r>
      <w:r w:rsidR="00902ECE">
        <w:t xml:space="preserve">course of action. In carrying out the PE, the </w:t>
      </w:r>
      <w:r w:rsidR="00902ECE" w:rsidRPr="00902ECE">
        <w:t>Chief of Medicine/Lead Associate Medical Director (Partnerships)</w:t>
      </w:r>
      <w:r w:rsidR="00902ECE">
        <w:t xml:space="preserve"> </w:t>
      </w:r>
      <w:r w:rsidR="00363608">
        <w:t xml:space="preserve">or delegated authority </w:t>
      </w:r>
      <w:r w:rsidR="00902ECE">
        <w:t>will take the following course of action:-</w:t>
      </w:r>
    </w:p>
    <w:p w:rsidR="00902ECE" w:rsidRDefault="00902ECE"/>
    <w:p w:rsidR="00902ECE" w:rsidRDefault="00902ECE" w:rsidP="00902ECE">
      <w:pPr>
        <w:pStyle w:val="ListParagraph"/>
        <w:numPr>
          <w:ilvl w:val="0"/>
          <w:numId w:val="22"/>
        </w:numPr>
      </w:pPr>
      <w:r>
        <w:t>Upon rece</w:t>
      </w:r>
      <w:r w:rsidR="00DC12BA">
        <w:t>ipt of the allegation/concern</w:t>
      </w:r>
      <w:r>
        <w:t xml:space="preserve">, write to the practitioner concerned </w:t>
      </w:r>
      <w:r w:rsidR="00DC12BA">
        <w:t>to notify him/her of the nature of the allegation/complaint made</w:t>
      </w:r>
    </w:p>
    <w:p w:rsidR="00DC12BA" w:rsidRDefault="00DC12BA" w:rsidP="00DC12BA">
      <w:pPr>
        <w:pStyle w:val="ListParagraph"/>
        <w:ind w:left="1080"/>
      </w:pPr>
    </w:p>
    <w:p w:rsidR="00DC12BA" w:rsidRDefault="00DC12BA" w:rsidP="00902ECE">
      <w:pPr>
        <w:pStyle w:val="ListParagraph"/>
        <w:numPr>
          <w:ilvl w:val="0"/>
          <w:numId w:val="22"/>
        </w:numPr>
      </w:pPr>
      <w:r>
        <w:t>Discuss the allegation/concern with the practitioner</w:t>
      </w:r>
    </w:p>
    <w:p w:rsidR="00C226A5" w:rsidRDefault="00C226A5" w:rsidP="00C226A5">
      <w:pPr>
        <w:pStyle w:val="ListParagraph"/>
      </w:pPr>
    </w:p>
    <w:p w:rsidR="00C226A5" w:rsidRDefault="00C226A5" w:rsidP="00902ECE">
      <w:pPr>
        <w:pStyle w:val="ListParagraph"/>
        <w:numPr>
          <w:ilvl w:val="0"/>
          <w:numId w:val="22"/>
        </w:numPr>
      </w:pPr>
      <w:r>
        <w:t>Give cognisance to any witness statements (at this stage it is not necessary to interview witnesses)</w:t>
      </w:r>
      <w:r w:rsidR="00197F49">
        <w:t xml:space="preserve"> and/or </w:t>
      </w:r>
      <w:r w:rsidR="00EF28BF">
        <w:t xml:space="preserve">written documentation e.g. Significant Clinical Incident </w:t>
      </w:r>
      <w:r w:rsidR="005E11BA">
        <w:t>report</w:t>
      </w:r>
      <w:r w:rsidR="00197F49">
        <w:t>, case note</w:t>
      </w:r>
      <w:r w:rsidR="00363608">
        <w:t>s</w:t>
      </w:r>
    </w:p>
    <w:p w:rsidR="00791F99" w:rsidRDefault="00791F99" w:rsidP="00791F99">
      <w:pPr>
        <w:pStyle w:val="ListParagraph"/>
      </w:pPr>
    </w:p>
    <w:p w:rsidR="00791F99" w:rsidRDefault="00791F99" w:rsidP="00902ECE">
      <w:pPr>
        <w:pStyle w:val="ListParagraph"/>
        <w:numPr>
          <w:ilvl w:val="0"/>
          <w:numId w:val="22"/>
        </w:numPr>
      </w:pPr>
      <w:r>
        <w:t>Es</w:t>
      </w:r>
      <w:r w:rsidR="00AD3DD3">
        <w:t xml:space="preserve">tablish </w:t>
      </w:r>
      <w:r>
        <w:t xml:space="preserve">the relevant facts </w:t>
      </w:r>
      <w:r w:rsidR="00EA0A9E">
        <w:t xml:space="preserve">from the information available </w:t>
      </w:r>
      <w:r>
        <w:t>i.e. is there substance to the allegation/concern</w:t>
      </w:r>
      <w:r w:rsidR="00271164">
        <w:t>, any mitigating circumstances</w:t>
      </w:r>
      <w:r w:rsidR="005D56D4">
        <w:t>, health issues</w:t>
      </w:r>
    </w:p>
    <w:p w:rsidR="00791F99" w:rsidRDefault="00791F99" w:rsidP="00791F99">
      <w:pPr>
        <w:pStyle w:val="ListParagraph"/>
      </w:pPr>
    </w:p>
    <w:p w:rsidR="00791F99" w:rsidRDefault="00AD3DD3" w:rsidP="00902ECE">
      <w:pPr>
        <w:pStyle w:val="ListParagraph"/>
        <w:numPr>
          <w:ilvl w:val="0"/>
          <w:numId w:val="22"/>
        </w:numPr>
      </w:pPr>
      <w:r>
        <w:t>Decide whether there is a need to place</w:t>
      </w:r>
      <w:r w:rsidR="00646D56">
        <w:t xml:space="preserve"> temporary restrictions on the practi</w:t>
      </w:r>
      <w:r w:rsidR="00EA0A9E">
        <w:t>ti</w:t>
      </w:r>
      <w:r w:rsidR="00646D56">
        <w:t>oner’s</w:t>
      </w:r>
      <w:r>
        <w:t xml:space="preserve"> clinical practice or whether suspension is warranted</w:t>
      </w:r>
    </w:p>
    <w:p w:rsidR="00DC12BA" w:rsidRDefault="00DC12BA" w:rsidP="00DC12BA">
      <w:pPr>
        <w:pStyle w:val="ListParagraph"/>
      </w:pPr>
    </w:p>
    <w:p w:rsidR="0089749E" w:rsidRDefault="00AD3DD3">
      <w:r>
        <w:t xml:space="preserve">Having completed the PE, the Chief of Medicine </w:t>
      </w:r>
      <w:r w:rsidRPr="00902ECE">
        <w:t>/Lead Associate Medical Director (Partnerships)</w:t>
      </w:r>
      <w:r>
        <w:t xml:space="preserve"> </w:t>
      </w:r>
      <w:r w:rsidR="00271164">
        <w:t xml:space="preserve">should decide if </w:t>
      </w:r>
      <w:r w:rsidR="00FC13EC">
        <w:t xml:space="preserve">there is a prima facie case and whether </w:t>
      </w:r>
      <w:r w:rsidR="00271164">
        <w:t>any further action is required.</w:t>
      </w:r>
    </w:p>
    <w:p w:rsidR="00C226A5" w:rsidRDefault="00C226A5"/>
    <w:p w:rsidR="00C226A5" w:rsidRDefault="00C226A5"/>
    <w:p w:rsidR="00C226A5" w:rsidRPr="00F65901" w:rsidRDefault="00C226A5">
      <w:pPr>
        <w:rPr>
          <w:b/>
        </w:rPr>
      </w:pPr>
      <w:r w:rsidRPr="00F65901">
        <w:rPr>
          <w:b/>
        </w:rPr>
        <w:t xml:space="preserve">What </w:t>
      </w:r>
      <w:r w:rsidR="00F65901" w:rsidRPr="00F65901">
        <w:rPr>
          <w:b/>
        </w:rPr>
        <w:t>courses of action are available to the Chief of Medicine/ Lead Associate Medical Director (Partnerships)</w:t>
      </w:r>
      <w:r w:rsidR="00ED48A7">
        <w:rPr>
          <w:b/>
        </w:rPr>
        <w:t xml:space="preserve"> having completed the PE</w:t>
      </w:r>
      <w:r w:rsidR="00F65901" w:rsidRPr="00F65901">
        <w:rPr>
          <w:b/>
        </w:rPr>
        <w:t>?</w:t>
      </w:r>
    </w:p>
    <w:p w:rsidR="00C226A5" w:rsidRDefault="00C226A5"/>
    <w:p w:rsidR="005D56D4" w:rsidRDefault="00B466FC">
      <w:r>
        <w:t xml:space="preserve">In accordance with </w:t>
      </w:r>
      <w:r>
        <w:rPr>
          <w:b/>
          <w:color w:val="0070C0"/>
          <w:u w:val="single"/>
        </w:rPr>
        <w:t>NHS Circular 1990 (PCS) 8</w:t>
      </w:r>
      <w:r w:rsidRPr="00F410C0">
        <w:t>,</w:t>
      </w:r>
      <w:r w:rsidR="00F410C0" w:rsidRPr="00F410C0">
        <w:t xml:space="preserve"> the</w:t>
      </w:r>
      <w:r w:rsidR="00F65901">
        <w:t xml:space="preserve"> Chief of Medicine</w:t>
      </w:r>
      <w:r w:rsidR="00F65901" w:rsidRPr="00F65901">
        <w:t>/ Lead Associate Medical Director (Partnerships)</w:t>
      </w:r>
      <w:r w:rsidR="00F65901">
        <w:t xml:space="preserve"> should </w:t>
      </w:r>
      <w:r w:rsidR="00B3218B">
        <w:t xml:space="preserve">first </w:t>
      </w:r>
      <w:r w:rsidR="00F65901">
        <w:t>decide whether the</w:t>
      </w:r>
      <w:r w:rsidR="00B3218B">
        <w:t xml:space="preserve">re is a prima facie case. </w:t>
      </w:r>
      <w:r w:rsidR="005D56D4">
        <w:t xml:space="preserve">If there is no substance to the allegation/concern, the practitioner </w:t>
      </w:r>
      <w:r w:rsidR="0089157C">
        <w:t>concerned should be informed in writing immediately.</w:t>
      </w:r>
    </w:p>
    <w:p w:rsidR="005D56D4" w:rsidRDefault="005D56D4"/>
    <w:p w:rsidR="0089157C" w:rsidRDefault="00B3218B">
      <w:r>
        <w:t>If there is a prima facie case</w:t>
      </w:r>
      <w:r w:rsidR="00ED48A7">
        <w:t>,</w:t>
      </w:r>
      <w:r>
        <w:t xml:space="preserve"> </w:t>
      </w:r>
      <w:r w:rsidR="0089157C">
        <w:t>the Chief of Medicine</w:t>
      </w:r>
      <w:r w:rsidR="0089157C" w:rsidRPr="00F65901">
        <w:t>/ Lead Associate Medical Director (Partnerships)</w:t>
      </w:r>
      <w:r w:rsidR="0089157C">
        <w:t xml:space="preserve"> should consider the seriousness of the case and how the matter should be addressed going forward.  If the allegation/concern is minor </w:t>
      </w:r>
      <w:r w:rsidR="001C48E1">
        <w:t xml:space="preserve">or related to health </w:t>
      </w:r>
      <w:r w:rsidR="0089157C">
        <w:t>then the Chief of Medicine</w:t>
      </w:r>
      <w:r w:rsidR="0089157C" w:rsidRPr="00F65901">
        <w:t>/ Lead Associate Medical Director (Partnerships)</w:t>
      </w:r>
      <w:r w:rsidR="0089157C">
        <w:t xml:space="preserve"> should consider</w:t>
      </w:r>
      <w:r w:rsidR="00012D73">
        <w:t xml:space="preserve"> the following:-</w:t>
      </w:r>
    </w:p>
    <w:p w:rsidR="0089157C" w:rsidRDefault="0089157C"/>
    <w:p w:rsidR="00831913" w:rsidRDefault="00C94034" w:rsidP="00C94034">
      <w:pPr>
        <w:pStyle w:val="ListParagraph"/>
        <w:numPr>
          <w:ilvl w:val="0"/>
          <w:numId w:val="23"/>
        </w:numPr>
      </w:pPr>
      <w:r>
        <w:lastRenderedPageBreak/>
        <w:t xml:space="preserve">Local Intervention - </w:t>
      </w:r>
      <w:r w:rsidR="00646D56">
        <w:t>If the case i</w:t>
      </w:r>
      <w:r>
        <w:t>nvolves</w:t>
      </w:r>
      <w:r w:rsidR="00646D56">
        <w:t xml:space="preserve"> </w:t>
      </w:r>
      <w:r>
        <w:t xml:space="preserve">a </w:t>
      </w:r>
      <w:r w:rsidR="00646D56">
        <w:t xml:space="preserve">minor </w:t>
      </w:r>
      <w:r>
        <w:t xml:space="preserve">conduct/competence issue </w:t>
      </w:r>
      <w:r w:rsidR="00646D56">
        <w:t>and could be dealt with on an informal basis within the Sector/Directorate e.g. mentorship, training, supportive improvement plan</w:t>
      </w:r>
    </w:p>
    <w:p w:rsidR="00DB568C" w:rsidRDefault="00DB568C" w:rsidP="00DB568C">
      <w:pPr>
        <w:pStyle w:val="ListParagraph"/>
      </w:pPr>
    </w:p>
    <w:p w:rsidR="00DB568C" w:rsidRPr="001C48E1" w:rsidRDefault="00C94034" w:rsidP="00831913">
      <w:pPr>
        <w:pStyle w:val="ListParagraph"/>
        <w:numPr>
          <w:ilvl w:val="0"/>
          <w:numId w:val="23"/>
        </w:numPr>
      </w:pPr>
      <w:r>
        <w:t>Referral to Clinical Support Group</w:t>
      </w:r>
      <w:r w:rsidR="00FF0FE7">
        <w:t xml:space="preserve"> </w:t>
      </w:r>
      <w:r>
        <w:t xml:space="preserve"> - If the case involves low level concerns about conduct/competence, where </w:t>
      </w:r>
      <w:r w:rsidR="00FF0FE7">
        <w:t xml:space="preserve">perhaps </w:t>
      </w:r>
      <w:r>
        <w:t>previous local intervention has gained no improvement</w:t>
      </w:r>
      <w:r w:rsidR="00FF0FE7">
        <w:t xml:space="preserve">, but the concern is </w:t>
      </w:r>
      <w:r>
        <w:t>not serious enough to trigger formal action</w:t>
      </w:r>
      <w:r w:rsidR="00184859">
        <w:t>.</w:t>
      </w:r>
      <w:r w:rsidR="00FF0FE7">
        <w:t xml:space="preserve"> A referral to the Clinical Support Group requires the agreement of the practitioner. </w:t>
      </w:r>
      <w:r w:rsidR="00FF0FE7" w:rsidRPr="00FF0FE7">
        <w:rPr>
          <w:b/>
          <w:color w:val="0070C0"/>
          <w:u w:val="single"/>
        </w:rPr>
        <w:t>Clinical Support Group</w:t>
      </w:r>
    </w:p>
    <w:p w:rsidR="001C48E1" w:rsidRDefault="001C48E1" w:rsidP="001C48E1">
      <w:pPr>
        <w:pStyle w:val="ListParagraph"/>
      </w:pPr>
    </w:p>
    <w:p w:rsidR="001C48E1" w:rsidRPr="001C48E1" w:rsidRDefault="001C48E1" w:rsidP="00831913">
      <w:pPr>
        <w:pStyle w:val="ListParagraph"/>
        <w:numPr>
          <w:ilvl w:val="0"/>
          <w:numId w:val="23"/>
        </w:numPr>
      </w:pPr>
      <w:r>
        <w:t xml:space="preserve">Referral to Occupational Health where there is reason to believe that the practitioner has a health issue (including addiction to drugs or alcohol) which might, if not remedied, lead to harm or danger to patients.  The procedure for sick doctors </w:t>
      </w:r>
      <w:r w:rsidR="002B6434">
        <w:t xml:space="preserve">set out in </w:t>
      </w:r>
      <w:r w:rsidR="002B6434" w:rsidRPr="002B6434">
        <w:rPr>
          <w:b/>
          <w:color w:val="0070C0"/>
          <w:u w:val="single"/>
        </w:rPr>
        <w:t>NHS Circular 1982 (PCS) 8</w:t>
      </w:r>
      <w:r w:rsidR="002B6434">
        <w:t xml:space="preserve"> might be appropriate</w:t>
      </w:r>
    </w:p>
    <w:p w:rsidR="001C48E1" w:rsidRDefault="001C48E1" w:rsidP="001C48E1">
      <w:pPr>
        <w:pStyle w:val="ListParagraph"/>
      </w:pPr>
    </w:p>
    <w:p w:rsidR="00C94034" w:rsidRDefault="00C94034" w:rsidP="00C94034"/>
    <w:p w:rsidR="00012D73" w:rsidRDefault="001C0404" w:rsidP="001C0404">
      <w:r>
        <w:t xml:space="preserve">Where it is decided that </w:t>
      </w:r>
      <w:r w:rsidR="00ED48A7">
        <w:t>the matter is</w:t>
      </w:r>
      <w:r w:rsidR="00012D73">
        <w:t xml:space="preserve"> more</w:t>
      </w:r>
      <w:r w:rsidR="00ED48A7">
        <w:t xml:space="preserve"> serious and </w:t>
      </w:r>
      <w:r>
        <w:t xml:space="preserve">a formal route is required, the Chief of Medicine </w:t>
      </w:r>
      <w:r w:rsidR="00F410C0">
        <w:t xml:space="preserve">should consider </w:t>
      </w:r>
      <w:r w:rsidR="00C06C53">
        <w:t xml:space="preserve">which </w:t>
      </w:r>
      <w:r w:rsidR="00D81195">
        <w:t>‘</w:t>
      </w:r>
      <w:r w:rsidR="00C06C53">
        <w:t>category</w:t>
      </w:r>
      <w:r w:rsidR="00D81195">
        <w:t>’</w:t>
      </w:r>
      <w:r w:rsidR="00C06C53">
        <w:t xml:space="preserve"> </w:t>
      </w:r>
      <w:r w:rsidR="00D81195">
        <w:t>the case falls under,</w:t>
      </w:r>
      <w:r w:rsidR="00F410C0">
        <w:t xml:space="preserve"> </w:t>
      </w:r>
      <w:r w:rsidR="00FC13EC">
        <w:t>this</w:t>
      </w:r>
      <w:r w:rsidR="00F410C0">
        <w:t xml:space="preserve"> will then determine the </w:t>
      </w:r>
      <w:r w:rsidR="00012D73">
        <w:t xml:space="preserve">procedure </w:t>
      </w:r>
      <w:r w:rsidR="00F410C0">
        <w:t xml:space="preserve">under which </w:t>
      </w:r>
      <w:r w:rsidR="00012D73">
        <w:t>the matter will be taken forward.  This is known as classification:-</w:t>
      </w:r>
    </w:p>
    <w:p w:rsidR="00012D73" w:rsidRDefault="00012D73" w:rsidP="001C0404"/>
    <w:p w:rsidR="001C0404" w:rsidRDefault="001C0404" w:rsidP="001C0404"/>
    <w:p w:rsidR="001C0404" w:rsidRDefault="001C0404" w:rsidP="001C0404">
      <w:pPr>
        <w:pStyle w:val="ListParagraph"/>
        <w:numPr>
          <w:ilvl w:val="0"/>
          <w:numId w:val="24"/>
        </w:numPr>
      </w:pPr>
      <w:r w:rsidRPr="00D81195">
        <w:rPr>
          <w:i/>
        </w:rPr>
        <w:t>Personal Conduct</w:t>
      </w:r>
      <w:r>
        <w:t xml:space="preserve"> – </w:t>
      </w:r>
      <w:r w:rsidR="00ED48A7" w:rsidRPr="00ED48A7">
        <w:t xml:space="preserve">Performance or behaviour of practitioners </w:t>
      </w:r>
      <w:r w:rsidR="00ED48A7" w:rsidRPr="00197F49">
        <w:rPr>
          <w:b/>
        </w:rPr>
        <w:t>not</w:t>
      </w:r>
      <w:r w:rsidR="00ED48A7" w:rsidRPr="00ED48A7">
        <w:t xml:space="preserve"> associated with the exercise of medical or dental skills</w:t>
      </w:r>
      <w:r w:rsidR="00ED48A7">
        <w:t>.</w:t>
      </w:r>
      <w:r w:rsidR="00184859">
        <w:t xml:space="preserve"> This would include failure to fulfil the contractual requirements of the post.</w:t>
      </w:r>
    </w:p>
    <w:p w:rsidR="001C0404" w:rsidRDefault="001C0404" w:rsidP="001C0404">
      <w:pPr>
        <w:pStyle w:val="ListParagraph"/>
        <w:ind w:left="1080"/>
      </w:pPr>
    </w:p>
    <w:p w:rsidR="00ED48A7" w:rsidRDefault="001C0404" w:rsidP="00ED48A7">
      <w:pPr>
        <w:pStyle w:val="ListParagraph"/>
        <w:numPr>
          <w:ilvl w:val="0"/>
          <w:numId w:val="24"/>
        </w:numPr>
      </w:pPr>
      <w:r w:rsidRPr="00D81195">
        <w:rPr>
          <w:i/>
        </w:rPr>
        <w:t xml:space="preserve">Professional </w:t>
      </w:r>
      <w:r w:rsidR="00ED48A7" w:rsidRPr="00D81195">
        <w:rPr>
          <w:i/>
        </w:rPr>
        <w:t>Conduct</w:t>
      </w:r>
      <w:r w:rsidR="00ED48A7">
        <w:t xml:space="preserve"> - </w:t>
      </w:r>
      <w:r w:rsidR="00ED48A7" w:rsidRPr="00ED48A7">
        <w:t>Performance or behaviour of practitioners arising from the exerc</w:t>
      </w:r>
      <w:r w:rsidR="00685BE3">
        <w:t xml:space="preserve">ise of medical or dental skills. </w:t>
      </w:r>
    </w:p>
    <w:p w:rsidR="00685BE3" w:rsidRDefault="00685BE3" w:rsidP="00685BE3">
      <w:pPr>
        <w:pStyle w:val="ListParagraph"/>
      </w:pPr>
    </w:p>
    <w:p w:rsidR="001C0404" w:rsidRDefault="00ED48A7" w:rsidP="001C0404">
      <w:pPr>
        <w:pStyle w:val="ListParagraph"/>
        <w:numPr>
          <w:ilvl w:val="0"/>
          <w:numId w:val="24"/>
        </w:numPr>
      </w:pPr>
      <w:r w:rsidRPr="00D81195">
        <w:rPr>
          <w:i/>
        </w:rPr>
        <w:t>Professional Competence</w:t>
      </w:r>
      <w:r>
        <w:t xml:space="preserve"> -</w:t>
      </w:r>
      <w:r w:rsidRPr="00ED48A7">
        <w:rPr>
          <w:rFonts w:eastAsia="+mn-ea"/>
          <w:color w:val="0033CC"/>
          <w:kern w:val="24"/>
          <w:sz w:val="40"/>
          <w:szCs w:val="40"/>
        </w:rPr>
        <w:t xml:space="preserve"> </w:t>
      </w:r>
      <w:r w:rsidRPr="00ED48A7">
        <w:t>Adequacy of performance of practitioners related to the exercise of their medical or dental skills and professional judgemen</w:t>
      </w:r>
      <w:r>
        <w:t>t</w:t>
      </w:r>
    </w:p>
    <w:p w:rsidR="00D81195" w:rsidRDefault="00D81195" w:rsidP="00D81195">
      <w:pPr>
        <w:pStyle w:val="ListParagraph"/>
      </w:pPr>
    </w:p>
    <w:p w:rsidR="005620BC" w:rsidRDefault="005620BC" w:rsidP="005620BC">
      <w:pPr>
        <w:pStyle w:val="ListParagraph"/>
      </w:pPr>
    </w:p>
    <w:p w:rsidR="009248AB" w:rsidRDefault="005620BC" w:rsidP="005620BC">
      <w:r w:rsidRPr="005620BC">
        <w:t xml:space="preserve">If the </w:t>
      </w:r>
      <w:r w:rsidR="00685BE3">
        <w:t>Chief of Medicine</w:t>
      </w:r>
      <w:r w:rsidR="00685BE3" w:rsidRPr="00F65901">
        <w:t>/ Lead Associate Medical Director (Partnerships)</w:t>
      </w:r>
      <w:r w:rsidR="00685BE3">
        <w:t xml:space="preserve"> </w:t>
      </w:r>
      <w:r w:rsidRPr="005620BC">
        <w:t>considers the evidence gathered relates to personal conduct</w:t>
      </w:r>
      <w:r>
        <w:t xml:space="preserve"> </w:t>
      </w:r>
      <w:r w:rsidRPr="005620BC">
        <w:t xml:space="preserve">the matter </w:t>
      </w:r>
      <w:r>
        <w:t xml:space="preserve">should be </w:t>
      </w:r>
      <w:r w:rsidRPr="005620BC">
        <w:t xml:space="preserve">dealt with under </w:t>
      </w:r>
      <w:r w:rsidRPr="005620BC">
        <w:rPr>
          <w:b/>
          <w:color w:val="0070C0"/>
          <w:u w:val="single"/>
        </w:rPr>
        <w:t>NHSGGC Disciplinary Policy</w:t>
      </w:r>
      <w:r w:rsidRPr="005620BC">
        <w:t xml:space="preserve">.  If the evidence relates to professional conduct </w:t>
      </w:r>
      <w:r w:rsidR="00860844">
        <w:t>and/</w:t>
      </w:r>
      <w:r w:rsidRPr="005620BC">
        <w:t>or professional competence</w:t>
      </w:r>
      <w:r w:rsidR="00685BE3">
        <w:t>, the matter should</w:t>
      </w:r>
      <w:r w:rsidRPr="005620BC">
        <w:t xml:space="preserve"> be dealt with </w:t>
      </w:r>
      <w:r w:rsidR="009248AB">
        <w:t>as follows:-</w:t>
      </w:r>
    </w:p>
    <w:p w:rsidR="009248AB" w:rsidRDefault="009248AB" w:rsidP="005620BC"/>
    <w:p w:rsidR="009248AB" w:rsidRPr="009248AB" w:rsidRDefault="009248AB" w:rsidP="009248AB">
      <w:pPr>
        <w:pStyle w:val="ListParagraph"/>
        <w:numPr>
          <w:ilvl w:val="0"/>
          <w:numId w:val="29"/>
        </w:numPr>
      </w:pPr>
      <w:r>
        <w:t>For cases of professional conduct and/or professional competence</w:t>
      </w:r>
      <w:r w:rsidR="001974AD">
        <w:t>,</w:t>
      </w:r>
      <w:r>
        <w:t xml:space="preserve"> which may warrant disciplinary action short of dismissal, the matter should be dealt with </w:t>
      </w:r>
      <w:r w:rsidRPr="000E6BE4">
        <w:t xml:space="preserve">under </w:t>
      </w:r>
      <w:r w:rsidRPr="009248AB">
        <w:rPr>
          <w:b/>
          <w:color w:val="0070C0"/>
          <w:u w:val="single"/>
        </w:rPr>
        <w:t xml:space="preserve">Annex B of </w:t>
      </w:r>
      <w:r>
        <w:rPr>
          <w:b/>
          <w:color w:val="0070C0"/>
          <w:u w:val="single"/>
        </w:rPr>
        <w:t>NHS Circular 1990 (PCS) 8.</w:t>
      </w:r>
    </w:p>
    <w:p w:rsidR="009248AB" w:rsidRPr="009248AB" w:rsidRDefault="009248AB" w:rsidP="009248AB">
      <w:pPr>
        <w:pStyle w:val="ListParagraph"/>
        <w:ind w:left="1004"/>
      </w:pPr>
    </w:p>
    <w:p w:rsidR="00B90410" w:rsidRPr="00B90410" w:rsidRDefault="009248AB" w:rsidP="00B90410">
      <w:pPr>
        <w:pStyle w:val="ListParagraph"/>
        <w:numPr>
          <w:ilvl w:val="0"/>
          <w:numId w:val="29"/>
        </w:numPr>
      </w:pPr>
      <w:r>
        <w:t>For cases involving serious professional conduct and/or professional competence which may result in</w:t>
      </w:r>
      <w:r w:rsidR="00013B9B">
        <w:t xml:space="preserve"> </w:t>
      </w:r>
      <w:r>
        <w:t>dismissal</w:t>
      </w:r>
      <w:r w:rsidR="00B90410">
        <w:t xml:space="preserve"> </w:t>
      </w:r>
      <w:r w:rsidR="001974AD">
        <w:t>and where</w:t>
      </w:r>
      <w:r w:rsidR="00B90410">
        <w:t xml:space="preserve"> the practitioner is disputing the facts, the matter should</w:t>
      </w:r>
      <w:r w:rsidR="00B90410" w:rsidRPr="005620BC">
        <w:t xml:space="preserve"> be dealt</w:t>
      </w:r>
      <w:r w:rsidR="00B90410" w:rsidRPr="00B90410">
        <w:rPr>
          <w:b/>
          <w:color w:val="0070C0"/>
        </w:rPr>
        <w:t xml:space="preserve"> </w:t>
      </w:r>
      <w:r w:rsidR="00B90410" w:rsidRPr="00B90410">
        <w:t>with</w:t>
      </w:r>
      <w:r w:rsidR="00B90410">
        <w:rPr>
          <w:b/>
          <w:color w:val="0070C0"/>
        </w:rPr>
        <w:t xml:space="preserve"> </w:t>
      </w:r>
      <w:r w:rsidR="00B90410" w:rsidRPr="000E6BE4">
        <w:t xml:space="preserve">under </w:t>
      </w:r>
      <w:r w:rsidR="00B90410">
        <w:rPr>
          <w:b/>
          <w:color w:val="0070C0"/>
          <w:u w:val="single"/>
        </w:rPr>
        <w:t>Annex C</w:t>
      </w:r>
      <w:r w:rsidR="00B90410" w:rsidRPr="009248AB">
        <w:rPr>
          <w:b/>
          <w:color w:val="0070C0"/>
          <w:u w:val="single"/>
        </w:rPr>
        <w:t xml:space="preserve"> of </w:t>
      </w:r>
      <w:r w:rsidR="00B90410">
        <w:rPr>
          <w:b/>
          <w:color w:val="0070C0"/>
          <w:u w:val="single"/>
        </w:rPr>
        <w:t>NHS Circular 1990 (PCS) 8.</w:t>
      </w:r>
    </w:p>
    <w:p w:rsidR="00B90410" w:rsidRDefault="00B90410" w:rsidP="00B90410">
      <w:pPr>
        <w:pStyle w:val="ListParagraph"/>
      </w:pPr>
    </w:p>
    <w:p w:rsidR="009248AB" w:rsidRDefault="00B90410" w:rsidP="009248AB">
      <w:pPr>
        <w:pStyle w:val="ListParagraph"/>
        <w:numPr>
          <w:ilvl w:val="0"/>
          <w:numId w:val="29"/>
        </w:numPr>
      </w:pPr>
      <w:r>
        <w:t>For cases involving serious professional conduct and/or professional competence which may result in dismissal</w:t>
      </w:r>
      <w:r w:rsidR="001974AD">
        <w:t xml:space="preserve"> and where</w:t>
      </w:r>
      <w:r>
        <w:t xml:space="preserve"> there is no substantial dispute as to the facts</w:t>
      </w:r>
      <w:r w:rsidR="001974AD">
        <w:t xml:space="preserve"> or if the facts in question have been the subject of a criminal charge</w:t>
      </w:r>
      <w:r>
        <w:t>, the matter should</w:t>
      </w:r>
      <w:r w:rsidRPr="005620BC">
        <w:t xml:space="preserve"> be dealt</w:t>
      </w:r>
      <w:r>
        <w:t xml:space="preserve"> under</w:t>
      </w:r>
      <w:r w:rsidRPr="00B90410">
        <w:rPr>
          <w:b/>
          <w:color w:val="0070C0"/>
          <w:u w:val="single"/>
        </w:rPr>
        <w:t xml:space="preserve"> </w:t>
      </w:r>
      <w:r w:rsidRPr="005620BC">
        <w:rPr>
          <w:b/>
          <w:color w:val="0070C0"/>
          <w:u w:val="single"/>
        </w:rPr>
        <w:t>NHSGGC Disciplinary Policy</w:t>
      </w:r>
    </w:p>
    <w:p w:rsidR="009248AB" w:rsidRDefault="009248AB" w:rsidP="005620BC"/>
    <w:p w:rsidR="009248AB" w:rsidRDefault="009248AB" w:rsidP="005620BC"/>
    <w:p w:rsidR="00271164" w:rsidRDefault="00271164" w:rsidP="00271164">
      <w:r>
        <w:t xml:space="preserve">Having completed the PE, the Chief of Medicine </w:t>
      </w:r>
      <w:r w:rsidRPr="00902ECE">
        <w:t>/Lead Associate Medical Director (Partnerships)</w:t>
      </w:r>
      <w:r w:rsidR="009A349F">
        <w:t xml:space="preserve"> should</w:t>
      </w:r>
      <w:r>
        <w:t xml:space="preserve"> record his/her findings and their decision as to any subsequent course of action, using the </w:t>
      </w:r>
      <w:r w:rsidRPr="00AD3DD3">
        <w:rPr>
          <w:b/>
          <w:color w:val="0070C0"/>
          <w:u w:val="single"/>
        </w:rPr>
        <w:t>Preliminary Enquiry Record</w:t>
      </w:r>
      <w:r>
        <w:rPr>
          <w:b/>
          <w:color w:val="0070C0"/>
          <w:u w:val="single"/>
        </w:rPr>
        <w:t>.</w:t>
      </w:r>
      <w:r w:rsidRPr="00C921E0">
        <w:rPr>
          <w:b/>
          <w:color w:val="0070C0"/>
        </w:rPr>
        <w:t xml:space="preserve"> </w:t>
      </w:r>
      <w:r w:rsidRPr="00AD3DD3">
        <w:t xml:space="preserve"> </w:t>
      </w:r>
      <w:r w:rsidR="009A349F">
        <w:t xml:space="preserve">If the matter is to be addresses formally, he/she should </w:t>
      </w:r>
      <w:r w:rsidR="002B6434">
        <w:t xml:space="preserve">discuss </w:t>
      </w:r>
      <w:r w:rsidR="009A349F">
        <w:t>their</w:t>
      </w:r>
      <w:r w:rsidR="002B6434">
        <w:t xml:space="preserve"> findings with the Director before writing out to the practitioner</w:t>
      </w:r>
      <w:r w:rsidR="009A349F">
        <w:t>.</w:t>
      </w:r>
      <w:r w:rsidR="002B6434">
        <w:t xml:space="preserve"> </w:t>
      </w:r>
      <w:r w:rsidRPr="00AD3DD3">
        <w:t>A</w:t>
      </w:r>
      <w:r w:rsidRPr="00AD3DD3">
        <w:rPr>
          <w:b/>
        </w:rPr>
        <w:t xml:space="preserve"> </w:t>
      </w:r>
      <w:r w:rsidRPr="00AD3DD3">
        <w:lastRenderedPageBreak/>
        <w:t>copy of the Pre</w:t>
      </w:r>
      <w:r>
        <w:t xml:space="preserve">liminary Enquiry Record should be </w:t>
      </w:r>
      <w:r w:rsidR="00D81195">
        <w:t>enclosed with the letter to</w:t>
      </w:r>
      <w:r>
        <w:t xml:space="preserve"> the practitioner</w:t>
      </w:r>
      <w:r w:rsidR="0030144A">
        <w:t xml:space="preserve"> and if applicable details of </w:t>
      </w:r>
      <w:r w:rsidR="00250F02">
        <w:t xml:space="preserve">any formal </w:t>
      </w:r>
      <w:r w:rsidR="00622714">
        <w:t>action</w:t>
      </w:r>
      <w:r w:rsidR="00250F02">
        <w:t>.</w:t>
      </w:r>
    </w:p>
    <w:p w:rsidR="009B2CEE" w:rsidRDefault="009B2CEE" w:rsidP="00271164"/>
    <w:p w:rsidR="00271164" w:rsidRPr="009B2CEE" w:rsidRDefault="009B2CEE" w:rsidP="005620BC">
      <w:pPr>
        <w:rPr>
          <w:b/>
        </w:rPr>
      </w:pPr>
      <w:r w:rsidRPr="009B2CEE">
        <w:rPr>
          <w:b/>
        </w:rPr>
        <w:t>Can the outcome of a PE be appealed?</w:t>
      </w:r>
    </w:p>
    <w:p w:rsidR="002D582D" w:rsidRDefault="002D582D" w:rsidP="005620BC">
      <w:pPr>
        <w:rPr>
          <w:b/>
          <w:color w:val="0070C0"/>
          <w:u w:val="single"/>
        </w:rPr>
      </w:pPr>
    </w:p>
    <w:p w:rsidR="009B2CEE" w:rsidRPr="00C921E0" w:rsidRDefault="00C921E0" w:rsidP="005620BC">
      <w:r w:rsidRPr="00C921E0">
        <w:t>If the practitioner</w:t>
      </w:r>
      <w:r>
        <w:t xml:space="preserve"> is dissatisfied with the decision to classify the case as personal conduct</w:t>
      </w:r>
      <w:r w:rsidR="00250F02">
        <w:t xml:space="preserve">, he/she may appeal within </w:t>
      </w:r>
      <w:r w:rsidR="00DE3941">
        <w:t>seven days of receipt of the formal notification</w:t>
      </w:r>
      <w:r w:rsidR="001974AD">
        <w:t>,</w:t>
      </w:r>
      <w:r w:rsidR="00764044">
        <w:t xml:space="preserve"> to the Board Medical Director.  The Medical Staffing Unit will be responsible for convening a Classification Appeal Committee as specified in the </w:t>
      </w:r>
      <w:r w:rsidR="00764044" w:rsidRPr="00764044">
        <w:rPr>
          <w:b/>
          <w:color w:val="0070C0"/>
          <w:u w:val="single"/>
        </w:rPr>
        <w:t>NHS Circular PCS(DD)2001/9</w:t>
      </w:r>
      <w:r w:rsidR="00764044">
        <w:t>.</w:t>
      </w:r>
      <w:r>
        <w:t xml:space="preserve"> </w:t>
      </w:r>
    </w:p>
    <w:p w:rsidR="009B2CEE" w:rsidRDefault="009B2CEE" w:rsidP="005620BC">
      <w:pPr>
        <w:rPr>
          <w:b/>
          <w:color w:val="0070C0"/>
          <w:u w:val="single"/>
        </w:rPr>
      </w:pPr>
    </w:p>
    <w:p w:rsidR="009B2CEE" w:rsidRDefault="009B2CEE" w:rsidP="005620BC">
      <w:pPr>
        <w:rPr>
          <w:b/>
          <w:color w:val="0070C0"/>
          <w:u w:val="single"/>
        </w:rPr>
      </w:pPr>
    </w:p>
    <w:p w:rsidR="009B2CEE" w:rsidRDefault="009B2CEE" w:rsidP="005620BC">
      <w:pPr>
        <w:rPr>
          <w:b/>
          <w:color w:val="0070C0"/>
          <w:u w:val="single"/>
        </w:rPr>
      </w:pPr>
    </w:p>
    <w:p w:rsidR="00B3218B" w:rsidRDefault="002D582D">
      <w:pPr>
        <w:rPr>
          <w:b/>
        </w:rPr>
      </w:pPr>
      <w:r w:rsidRPr="002D582D">
        <w:rPr>
          <w:b/>
        </w:rPr>
        <w:t>Frequently Asked Questions</w:t>
      </w:r>
    </w:p>
    <w:p w:rsidR="002D582D" w:rsidRDefault="002D582D">
      <w:pPr>
        <w:rPr>
          <w:b/>
        </w:rPr>
      </w:pPr>
    </w:p>
    <w:p w:rsidR="002D582D" w:rsidRDefault="002D582D">
      <w:pPr>
        <w:rPr>
          <w:b/>
        </w:rPr>
      </w:pPr>
      <w:r>
        <w:rPr>
          <w:b/>
        </w:rPr>
        <w:t>Is a Preliminary Enquiry the same as an investigation?</w:t>
      </w:r>
    </w:p>
    <w:p w:rsidR="002D582D" w:rsidRDefault="002D582D">
      <w:pPr>
        <w:rPr>
          <w:b/>
        </w:rPr>
      </w:pPr>
    </w:p>
    <w:p w:rsidR="002D582D" w:rsidRPr="002D582D" w:rsidRDefault="002D582D">
      <w:r w:rsidRPr="002D582D">
        <w:t xml:space="preserve">No. The PE is limited to gathering the basic information to allow </w:t>
      </w:r>
      <w:r w:rsidR="002B6434">
        <w:t xml:space="preserve">the Chief of Medicine to ascertain the substance and seriousness of the concern, prior to determining the direction and scope of any future course of action. </w:t>
      </w:r>
    </w:p>
    <w:p w:rsidR="002D582D" w:rsidRDefault="002D582D"/>
    <w:p w:rsidR="00831913" w:rsidRDefault="00831913">
      <w:pPr>
        <w:rPr>
          <w:b/>
        </w:rPr>
      </w:pPr>
      <w:r w:rsidRPr="00831913">
        <w:rPr>
          <w:b/>
        </w:rPr>
        <w:t>Can a practitioner be represented at a Preliminary Enquiry?</w:t>
      </w:r>
    </w:p>
    <w:p w:rsidR="00831913" w:rsidRDefault="00831913">
      <w:pPr>
        <w:rPr>
          <w:b/>
        </w:rPr>
      </w:pPr>
    </w:p>
    <w:p w:rsidR="00831913" w:rsidRPr="00831913" w:rsidRDefault="00831913">
      <w:r w:rsidRPr="00831913">
        <w:t xml:space="preserve">Yes. The practitioner </w:t>
      </w:r>
      <w:r>
        <w:t>has the right to be represented by the</w:t>
      </w:r>
      <w:r w:rsidR="002B6434">
        <w:t xml:space="preserve"> BMA</w:t>
      </w:r>
      <w:r>
        <w:t xml:space="preserve"> or relevant defence body.</w:t>
      </w:r>
    </w:p>
    <w:p w:rsidR="00C226A5" w:rsidRDefault="00C226A5"/>
    <w:p w:rsidR="00F65901" w:rsidRDefault="00F65901" w:rsidP="00F65901">
      <w:pPr>
        <w:rPr>
          <w:b/>
        </w:rPr>
      </w:pPr>
      <w:r>
        <w:rPr>
          <w:b/>
        </w:rPr>
        <w:t>What is the timescale of Preliminary Enquiry?</w:t>
      </w:r>
    </w:p>
    <w:p w:rsidR="00F65901" w:rsidRDefault="00F65901" w:rsidP="00F65901">
      <w:pPr>
        <w:rPr>
          <w:b/>
        </w:rPr>
      </w:pPr>
    </w:p>
    <w:p w:rsidR="00F65901" w:rsidRPr="00C226A5" w:rsidRDefault="00F65901" w:rsidP="00F65901">
      <w:r w:rsidRPr="00C226A5">
        <w:t xml:space="preserve">The </w:t>
      </w:r>
      <w:r>
        <w:t>PE should be completed within 10 working days of the allegation/concern being raised, where practicable.</w:t>
      </w:r>
    </w:p>
    <w:p w:rsidR="00C226A5" w:rsidRDefault="00C226A5"/>
    <w:p w:rsidR="00F65901" w:rsidRDefault="00F65901">
      <w:pPr>
        <w:rPr>
          <w:b/>
        </w:rPr>
      </w:pPr>
      <w:r w:rsidRPr="00F65901">
        <w:rPr>
          <w:b/>
        </w:rPr>
        <w:t xml:space="preserve">Is it necessary to </w:t>
      </w:r>
      <w:r>
        <w:rPr>
          <w:b/>
        </w:rPr>
        <w:t xml:space="preserve">take a </w:t>
      </w:r>
      <w:r w:rsidRPr="00F65901">
        <w:rPr>
          <w:b/>
        </w:rPr>
        <w:t>note of the PE</w:t>
      </w:r>
      <w:r>
        <w:rPr>
          <w:b/>
        </w:rPr>
        <w:t xml:space="preserve"> discussion and share with the practitioner</w:t>
      </w:r>
      <w:r w:rsidRPr="00F65901">
        <w:rPr>
          <w:b/>
        </w:rPr>
        <w:t>?</w:t>
      </w:r>
    </w:p>
    <w:p w:rsidR="00F65901" w:rsidRDefault="00F65901">
      <w:pPr>
        <w:rPr>
          <w:b/>
        </w:rPr>
      </w:pPr>
    </w:p>
    <w:p w:rsidR="00F65901" w:rsidRPr="00F65901" w:rsidRDefault="00F65901">
      <w:r w:rsidRPr="00F65901">
        <w:t xml:space="preserve">The </w:t>
      </w:r>
      <w:r w:rsidR="002D582D" w:rsidRPr="00AD3DD3">
        <w:rPr>
          <w:b/>
          <w:color w:val="0070C0"/>
          <w:u w:val="single"/>
        </w:rPr>
        <w:t>Preliminary Enquiry Record</w:t>
      </w:r>
      <w:r w:rsidRPr="00F65901">
        <w:t xml:space="preserve"> will serve as the note of the meeting</w:t>
      </w:r>
      <w:r w:rsidR="002B6434">
        <w:t xml:space="preserve"> and should be shared with the practitioner when advising of the outcome of the PE</w:t>
      </w:r>
      <w:r w:rsidRPr="00F65901">
        <w:t>.</w:t>
      </w:r>
    </w:p>
    <w:p w:rsidR="00C226A5" w:rsidRDefault="00C226A5"/>
    <w:p w:rsidR="00F65901" w:rsidRDefault="00F65901" w:rsidP="00F65901">
      <w:pPr>
        <w:rPr>
          <w:b/>
        </w:rPr>
      </w:pPr>
      <w:r w:rsidRPr="00C226A5">
        <w:rPr>
          <w:b/>
        </w:rPr>
        <w:t>Will the PE Repo</w:t>
      </w:r>
      <w:r>
        <w:rPr>
          <w:b/>
        </w:rPr>
        <w:t>rt be used in any subsequent inv</w:t>
      </w:r>
      <w:r w:rsidRPr="00C226A5">
        <w:rPr>
          <w:b/>
        </w:rPr>
        <w:t>estigation?</w:t>
      </w:r>
    </w:p>
    <w:p w:rsidR="00F65901" w:rsidRDefault="00F65901" w:rsidP="00F65901">
      <w:pPr>
        <w:rPr>
          <w:b/>
        </w:rPr>
      </w:pPr>
    </w:p>
    <w:p w:rsidR="00F65901" w:rsidRDefault="00F65901" w:rsidP="00F65901">
      <w:r w:rsidRPr="00C226A5">
        <w:t xml:space="preserve">No. The PE report </w:t>
      </w:r>
      <w:r w:rsidR="00622714">
        <w:t xml:space="preserve">may inform </w:t>
      </w:r>
      <w:r w:rsidR="00764044">
        <w:t xml:space="preserve">the direction and scope of any subsequent formal process, its substance should not be used as part of </w:t>
      </w:r>
      <w:r w:rsidRPr="00C226A5">
        <w:t>any subsequent investigation</w:t>
      </w:r>
      <w:r w:rsidR="00764044">
        <w:t xml:space="preserve"> to avoid the risk of prejudicing the outcome.</w:t>
      </w:r>
    </w:p>
    <w:p w:rsidR="0089749E" w:rsidRDefault="0089749E"/>
    <w:p w:rsidR="0089749E" w:rsidRDefault="0089749E"/>
    <w:p w:rsidR="0089749E" w:rsidRDefault="0089749E"/>
    <w:p w:rsidR="0089749E" w:rsidRDefault="0089749E"/>
    <w:p w:rsidR="0089749E" w:rsidRDefault="0089749E"/>
    <w:p w:rsidR="0089749E" w:rsidRDefault="0089749E"/>
    <w:p w:rsidR="00193A10" w:rsidRDefault="00193A10"/>
    <w:sectPr w:rsidR="00193A10" w:rsidSect="00F4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53C"/>
    <w:multiLevelType w:val="hybridMultilevel"/>
    <w:tmpl w:val="50D2FC9E"/>
    <w:lvl w:ilvl="0" w:tplc="B6461D7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05672C"/>
    <w:multiLevelType w:val="hybridMultilevel"/>
    <w:tmpl w:val="836EA7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DD431E"/>
    <w:multiLevelType w:val="hybridMultilevel"/>
    <w:tmpl w:val="C8562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0B75"/>
    <w:multiLevelType w:val="hybridMultilevel"/>
    <w:tmpl w:val="A70CF9C4"/>
    <w:lvl w:ilvl="0" w:tplc="390CE3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5C0C"/>
    <w:multiLevelType w:val="hybridMultilevel"/>
    <w:tmpl w:val="B48027C6"/>
    <w:lvl w:ilvl="0" w:tplc="A210D1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54505"/>
    <w:multiLevelType w:val="hybridMultilevel"/>
    <w:tmpl w:val="2CF0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055A3"/>
    <w:multiLevelType w:val="hybridMultilevel"/>
    <w:tmpl w:val="4E881F72"/>
    <w:lvl w:ilvl="0" w:tplc="C76AE1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06D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81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69F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4D3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0D5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C9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C6B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8D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8655CB"/>
    <w:multiLevelType w:val="hybridMultilevel"/>
    <w:tmpl w:val="A6DE2A04"/>
    <w:lvl w:ilvl="0" w:tplc="2C0632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A7457"/>
    <w:multiLevelType w:val="multilevel"/>
    <w:tmpl w:val="64BA9C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7"/>
  </w:num>
  <w:num w:numId="23">
    <w:abstractNumId w:val="3"/>
  </w:num>
  <w:num w:numId="24">
    <w:abstractNumId w:val="4"/>
  </w:num>
  <w:num w:numId="25">
    <w:abstractNumId w:val="6"/>
  </w:num>
  <w:num w:numId="26">
    <w:abstractNumId w:val="1"/>
  </w:num>
  <w:num w:numId="27">
    <w:abstractNumId w:val="5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93A10"/>
    <w:rsid w:val="00012D73"/>
    <w:rsid w:val="00013B9B"/>
    <w:rsid w:val="000916B8"/>
    <w:rsid w:val="000E6BE4"/>
    <w:rsid w:val="00180693"/>
    <w:rsid w:val="00183DEA"/>
    <w:rsid w:val="00184859"/>
    <w:rsid w:val="00193A10"/>
    <w:rsid w:val="001974AD"/>
    <w:rsid w:val="00197F49"/>
    <w:rsid w:val="001C0404"/>
    <w:rsid w:val="001C48E1"/>
    <w:rsid w:val="00226C7F"/>
    <w:rsid w:val="00250F02"/>
    <w:rsid w:val="00256868"/>
    <w:rsid w:val="00271164"/>
    <w:rsid w:val="002B6434"/>
    <w:rsid w:val="002D582D"/>
    <w:rsid w:val="0030144A"/>
    <w:rsid w:val="0033278B"/>
    <w:rsid w:val="00363608"/>
    <w:rsid w:val="0049708E"/>
    <w:rsid w:val="004A1EC6"/>
    <w:rsid w:val="005620BC"/>
    <w:rsid w:val="00593B3E"/>
    <w:rsid w:val="005A24DF"/>
    <w:rsid w:val="005D56D4"/>
    <w:rsid w:val="005E11BA"/>
    <w:rsid w:val="00622714"/>
    <w:rsid w:val="00640D48"/>
    <w:rsid w:val="00646D56"/>
    <w:rsid w:val="00671198"/>
    <w:rsid w:val="00685BE3"/>
    <w:rsid w:val="006A63CC"/>
    <w:rsid w:val="006D28EC"/>
    <w:rsid w:val="00762007"/>
    <w:rsid w:val="00764044"/>
    <w:rsid w:val="00791F99"/>
    <w:rsid w:val="007A5B28"/>
    <w:rsid w:val="007E4BFC"/>
    <w:rsid w:val="00831913"/>
    <w:rsid w:val="00860844"/>
    <w:rsid w:val="0089157C"/>
    <w:rsid w:val="0089749E"/>
    <w:rsid w:val="008D0DBA"/>
    <w:rsid w:val="008E37D9"/>
    <w:rsid w:val="00902ECE"/>
    <w:rsid w:val="009248AB"/>
    <w:rsid w:val="009A349F"/>
    <w:rsid w:val="009B2CEE"/>
    <w:rsid w:val="009F3C8C"/>
    <w:rsid w:val="00A71D12"/>
    <w:rsid w:val="00A87DBF"/>
    <w:rsid w:val="00AD3DD3"/>
    <w:rsid w:val="00AE0F3E"/>
    <w:rsid w:val="00B3218B"/>
    <w:rsid w:val="00B466FC"/>
    <w:rsid w:val="00B90410"/>
    <w:rsid w:val="00BA514C"/>
    <w:rsid w:val="00BE09A6"/>
    <w:rsid w:val="00C06C53"/>
    <w:rsid w:val="00C226A5"/>
    <w:rsid w:val="00C921E0"/>
    <w:rsid w:val="00C94034"/>
    <w:rsid w:val="00D81195"/>
    <w:rsid w:val="00DB568C"/>
    <w:rsid w:val="00DC12BA"/>
    <w:rsid w:val="00DE3941"/>
    <w:rsid w:val="00E504EC"/>
    <w:rsid w:val="00EA0A9E"/>
    <w:rsid w:val="00ED48A7"/>
    <w:rsid w:val="00EE1B47"/>
    <w:rsid w:val="00EF28BF"/>
    <w:rsid w:val="00EF393B"/>
    <w:rsid w:val="00F404F0"/>
    <w:rsid w:val="00F410C0"/>
    <w:rsid w:val="00F65901"/>
    <w:rsid w:val="00FC13EC"/>
    <w:rsid w:val="00FF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8E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08E"/>
    <w:pPr>
      <w:keepNext/>
      <w:keepLines/>
      <w:spacing w:before="480"/>
      <w:ind w:left="432" w:hanging="432"/>
      <w:outlineLvl w:val="0"/>
    </w:pPr>
    <w:rPr>
      <w:rFonts w:eastAsiaTheme="majorEastAsia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08E"/>
    <w:pPr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9708E"/>
    <w:pPr>
      <w:numPr>
        <w:ilvl w:val="2"/>
        <w:numId w:val="21"/>
      </w:numPr>
      <w:spacing w:before="0"/>
      <w:outlineLvl w:val="2"/>
    </w:pPr>
    <w:rPr>
      <w:b w:val="0"/>
      <w:sz w:val="22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08E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08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08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708E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708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08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8E"/>
    <w:rPr>
      <w:rFonts w:ascii="Arial" w:eastAsiaTheme="majorEastAsia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08E"/>
    <w:rPr>
      <w:rFonts w:ascii="Arial" w:eastAsia="Times New Roman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708E"/>
    <w:rPr>
      <w:rFonts w:ascii="Arial" w:eastAsiaTheme="majorEastAsia" w:hAnsi="Arial" w:cs="Arial"/>
      <w:bCs/>
      <w:szCs w:val="5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97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70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970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970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708E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708E"/>
    <w:pPr>
      <w:spacing w:after="100"/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9708E"/>
    <w:pPr>
      <w:spacing w:after="100"/>
      <w:ind w:left="480"/>
    </w:pPr>
    <w:rPr>
      <w:rFonts w:eastAsia="Times New Roman"/>
    </w:rPr>
  </w:style>
  <w:style w:type="character" w:styleId="Strong">
    <w:name w:val="Strong"/>
    <w:basedOn w:val="DefaultParagraphFont"/>
    <w:qFormat/>
    <w:rsid w:val="0049708E"/>
    <w:rPr>
      <w:b/>
      <w:bCs/>
    </w:rPr>
  </w:style>
  <w:style w:type="character" w:styleId="Emphasis">
    <w:name w:val="Emphasis"/>
    <w:basedOn w:val="DefaultParagraphFont"/>
    <w:uiPriority w:val="20"/>
    <w:qFormat/>
    <w:rsid w:val="0049708E"/>
    <w:rPr>
      <w:i/>
      <w:iCs/>
    </w:rPr>
  </w:style>
  <w:style w:type="paragraph" w:styleId="NoSpacing">
    <w:name w:val="No Spacing"/>
    <w:uiPriority w:val="1"/>
    <w:qFormat/>
    <w:rsid w:val="0049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49708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qFormat/>
    <w:locked/>
    <w:rsid w:val="0049708E"/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9708E"/>
    <w:pPr>
      <w:spacing w:line="276" w:lineRule="auto"/>
      <w:outlineLvl w:val="9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AEA76-1EC6-4594-98BB-6D5391FA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coopean829</dc:creator>
  <cp:lastModifiedBy>kellymo568</cp:lastModifiedBy>
  <cp:revision>2</cp:revision>
  <dcterms:created xsi:type="dcterms:W3CDTF">2019-05-08T09:56:00Z</dcterms:created>
  <dcterms:modified xsi:type="dcterms:W3CDTF">2019-05-08T09:56:00Z</dcterms:modified>
</cp:coreProperties>
</file>