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85" w:rsidRPr="00741C91" w:rsidRDefault="008314F8" w:rsidP="008314F8">
      <w:pPr>
        <w:jc w:val="center"/>
        <w:rPr>
          <w:rFonts w:ascii="Arial" w:hAnsi="Arial" w:cs="Arial"/>
          <w:b/>
          <w:sz w:val="28"/>
          <w:szCs w:val="24"/>
        </w:rPr>
      </w:pPr>
      <w:r w:rsidRPr="00741C91">
        <w:rPr>
          <w:rFonts w:ascii="Arial" w:hAnsi="Arial" w:cs="Arial"/>
          <w:b/>
          <w:sz w:val="28"/>
          <w:szCs w:val="24"/>
        </w:rPr>
        <w:t xml:space="preserve">Guidance for locating </w:t>
      </w:r>
      <w:r w:rsidR="009C5132" w:rsidRPr="00741C91">
        <w:rPr>
          <w:rFonts w:ascii="Arial" w:hAnsi="Arial" w:cs="Arial"/>
          <w:b/>
          <w:sz w:val="28"/>
          <w:szCs w:val="24"/>
        </w:rPr>
        <w:t>healthcare related sharp</w:t>
      </w:r>
      <w:r w:rsidRPr="00741C91">
        <w:rPr>
          <w:rFonts w:ascii="Arial" w:hAnsi="Arial" w:cs="Arial"/>
          <w:b/>
          <w:sz w:val="28"/>
          <w:szCs w:val="24"/>
        </w:rPr>
        <w:t>s modules</w:t>
      </w:r>
    </w:p>
    <w:p w:rsidR="003760FE" w:rsidRPr="003760FE" w:rsidRDefault="003760FE" w:rsidP="003760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3760FE">
        <w:rPr>
          <w:rFonts w:ascii="Arial" w:hAnsi="Arial" w:cs="Arial"/>
          <w:b/>
          <w:sz w:val="24"/>
          <w:szCs w:val="24"/>
        </w:rPr>
        <w:t>What Sharps modules are required to be completed:</w:t>
      </w:r>
    </w:p>
    <w:p w:rsidR="009C5132" w:rsidRPr="008314F8" w:rsidRDefault="009C5132">
      <w:pPr>
        <w:rPr>
          <w:rFonts w:ascii="Arial" w:hAnsi="Arial" w:cs="Arial"/>
          <w:sz w:val="24"/>
          <w:szCs w:val="24"/>
        </w:rPr>
      </w:pPr>
      <w:r w:rsidRPr="008314F8">
        <w:rPr>
          <w:rFonts w:ascii="Arial" w:hAnsi="Arial" w:cs="Arial"/>
          <w:sz w:val="24"/>
          <w:szCs w:val="24"/>
        </w:rPr>
        <w:t xml:space="preserve">All staff </w:t>
      </w:r>
      <w:proofErr w:type="gramStart"/>
      <w:r w:rsidRPr="008314F8">
        <w:rPr>
          <w:rFonts w:ascii="Arial" w:hAnsi="Arial" w:cs="Arial"/>
          <w:sz w:val="24"/>
          <w:szCs w:val="24"/>
        </w:rPr>
        <w:t>who</w:t>
      </w:r>
      <w:proofErr w:type="gramEnd"/>
      <w:r w:rsidRPr="008314F8">
        <w:rPr>
          <w:rFonts w:ascii="Arial" w:hAnsi="Arial" w:cs="Arial"/>
          <w:sz w:val="24"/>
          <w:szCs w:val="24"/>
        </w:rPr>
        <w:t xml:space="preserve"> use healthcare related sharps are required to undertake 2 modules entitled:</w:t>
      </w:r>
    </w:p>
    <w:p w:rsidR="009C5132" w:rsidRPr="008314F8" w:rsidRDefault="009C5132" w:rsidP="009C51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4F8">
        <w:rPr>
          <w:rFonts w:ascii="Arial" w:hAnsi="Arial" w:cs="Arial"/>
          <w:color w:val="000000"/>
          <w:sz w:val="24"/>
          <w:szCs w:val="24"/>
        </w:rPr>
        <w:t>‘GGC: 061 Management of Needlestick &amp; Similar Injuries’</w:t>
      </w:r>
      <w:r w:rsidR="00A067F6" w:rsidRPr="008314F8">
        <w:rPr>
          <w:rFonts w:ascii="Arial" w:hAnsi="Arial" w:cs="Arial"/>
          <w:color w:val="000000"/>
          <w:sz w:val="24"/>
          <w:szCs w:val="24"/>
        </w:rPr>
        <w:t xml:space="preserve"> (GGC</w:t>
      </w:r>
      <w:r w:rsidR="008314F8">
        <w:rPr>
          <w:rFonts w:ascii="Arial" w:hAnsi="Arial" w:cs="Arial"/>
          <w:color w:val="000000"/>
          <w:sz w:val="24"/>
          <w:szCs w:val="24"/>
        </w:rPr>
        <w:t xml:space="preserve"> for short</w:t>
      </w:r>
      <w:r w:rsidR="00A067F6" w:rsidRPr="008314F8">
        <w:rPr>
          <w:rFonts w:ascii="Arial" w:hAnsi="Arial" w:cs="Arial"/>
          <w:color w:val="000000"/>
          <w:sz w:val="24"/>
          <w:szCs w:val="24"/>
        </w:rPr>
        <w:t>)</w:t>
      </w:r>
    </w:p>
    <w:p w:rsidR="009C5132" w:rsidRPr="008314F8" w:rsidRDefault="009C5132" w:rsidP="009C51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4F8">
        <w:rPr>
          <w:rFonts w:ascii="Arial" w:hAnsi="Arial" w:cs="Arial"/>
          <w:color w:val="000000"/>
          <w:sz w:val="24"/>
          <w:szCs w:val="24"/>
        </w:rPr>
        <w:t>‘Prevention and Management of Occupational Exposure’</w:t>
      </w:r>
      <w:r w:rsidR="00A067F6" w:rsidRPr="008314F8">
        <w:rPr>
          <w:rFonts w:ascii="Arial" w:hAnsi="Arial" w:cs="Arial"/>
          <w:color w:val="000000"/>
          <w:sz w:val="24"/>
          <w:szCs w:val="24"/>
        </w:rPr>
        <w:t xml:space="preserve"> (NES</w:t>
      </w:r>
      <w:r w:rsidR="008314F8">
        <w:rPr>
          <w:rFonts w:ascii="Arial" w:hAnsi="Arial" w:cs="Arial"/>
          <w:color w:val="000000"/>
          <w:sz w:val="24"/>
          <w:szCs w:val="24"/>
        </w:rPr>
        <w:t xml:space="preserve"> for short</w:t>
      </w:r>
      <w:r w:rsidR="00A067F6" w:rsidRPr="008314F8">
        <w:rPr>
          <w:rFonts w:ascii="Arial" w:hAnsi="Arial" w:cs="Arial"/>
          <w:color w:val="000000"/>
          <w:sz w:val="24"/>
          <w:szCs w:val="24"/>
        </w:rPr>
        <w:t>)</w:t>
      </w:r>
    </w:p>
    <w:p w:rsidR="003760FE" w:rsidRDefault="003760FE" w:rsidP="009C51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  <w:r>
        <w:rPr>
          <w:rFonts w:ascii="Arial" w:hAnsi="Arial" w:cs="Arial"/>
          <w:sz w:val="24"/>
          <w:szCs w:val="24"/>
        </w:rPr>
        <w:t xml:space="preserve"> who do not use sharps but may come into contact with a sharp during their normal working duties are required to undertake 1 module entitled:</w:t>
      </w:r>
    </w:p>
    <w:p w:rsidR="003760FE" w:rsidRPr="003760FE" w:rsidRDefault="003760FE" w:rsidP="00376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4F8">
        <w:rPr>
          <w:rFonts w:ascii="Arial" w:hAnsi="Arial" w:cs="Arial"/>
          <w:color w:val="000000"/>
          <w:sz w:val="24"/>
          <w:szCs w:val="24"/>
        </w:rPr>
        <w:t>‘GGC: 061 Management of Needlestick &amp; Similar Injuries’ (GGC</w:t>
      </w:r>
      <w:r>
        <w:rPr>
          <w:rFonts w:ascii="Arial" w:hAnsi="Arial" w:cs="Arial"/>
          <w:color w:val="000000"/>
          <w:sz w:val="24"/>
          <w:szCs w:val="24"/>
        </w:rPr>
        <w:t xml:space="preserve"> for short</w:t>
      </w:r>
      <w:r w:rsidRPr="008314F8">
        <w:rPr>
          <w:rFonts w:ascii="Arial" w:hAnsi="Arial" w:cs="Arial"/>
          <w:color w:val="000000"/>
          <w:sz w:val="24"/>
          <w:szCs w:val="24"/>
        </w:rPr>
        <w:t>)</w:t>
      </w:r>
    </w:p>
    <w:p w:rsidR="003760FE" w:rsidRPr="008314F8" w:rsidRDefault="003760FE" w:rsidP="003760FE">
      <w:pPr>
        <w:pStyle w:val="ListParagraph"/>
        <w:rPr>
          <w:rFonts w:ascii="Arial" w:hAnsi="Arial" w:cs="Arial"/>
          <w:sz w:val="24"/>
          <w:szCs w:val="24"/>
        </w:rPr>
      </w:pPr>
    </w:p>
    <w:p w:rsidR="003760FE" w:rsidRPr="003760FE" w:rsidRDefault="003760FE" w:rsidP="003760FE">
      <w:pPr>
        <w:pStyle w:val="ListParagraph"/>
        <w:numPr>
          <w:ilvl w:val="0"/>
          <w:numId w:val="2"/>
        </w:numPr>
        <w:spacing w:before="240" w:after="120"/>
        <w:ind w:left="425" w:hanging="425"/>
        <w:rPr>
          <w:rFonts w:ascii="Arial" w:hAnsi="Arial" w:cs="Arial"/>
          <w:b/>
          <w:sz w:val="24"/>
          <w:szCs w:val="24"/>
        </w:rPr>
      </w:pPr>
      <w:r w:rsidRPr="003760FE">
        <w:rPr>
          <w:rFonts w:ascii="Arial" w:hAnsi="Arial" w:cs="Arial"/>
          <w:b/>
          <w:sz w:val="24"/>
          <w:szCs w:val="24"/>
        </w:rPr>
        <w:t>How to find the Sharps modules on LearnPro</w:t>
      </w:r>
    </w:p>
    <w:p w:rsidR="009C5132" w:rsidRPr="008314F8" w:rsidRDefault="009C5132" w:rsidP="009C5132">
      <w:pPr>
        <w:rPr>
          <w:rFonts w:ascii="Arial" w:hAnsi="Arial" w:cs="Arial"/>
          <w:sz w:val="24"/>
          <w:szCs w:val="24"/>
        </w:rPr>
      </w:pPr>
      <w:r w:rsidRPr="008314F8">
        <w:rPr>
          <w:rFonts w:ascii="Arial" w:hAnsi="Arial" w:cs="Arial"/>
          <w:sz w:val="24"/>
          <w:szCs w:val="24"/>
        </w:rPr>
        <w:t>The Modules are located in LearnPro (</w:t>
      </w:r>
      <w:hyperlink r:id="rId7" w:anchor="&amp;&amp;/wEXAQUGSFBvaW50BQRIb21lb+qKhlJwbVkPjbaCMAIV5zL1q1X0W3nUZ54vs1WdCbk=" w:history="1">
        <w:r w:rsidRPr="008314F8">
          <w:rPr>
            <w:rStyle w:val="Hyperlink"/>
            <w:rFonts w:ascii="Arial" w:hAnsi="Arial" w:cs="Arial"/>
            <w:sz w:val="24"/>
            <w:szCs w:val="24"/>
          </w:rPr>
          <w:t>Login page</w:t>
        </w:r>
      </w:hyperlink>
      <w:r w:rsidRPr="008314F8">
        <w:rPr>
          <w:rFonts w:ascii="Arial" w:hAnsi="Arial" w:cs="Arial"/>
          <w:sz w:val="24"/>
          <w:szCs w:val="24"/>
        </w:rPr>
        <w:t>). They are located in</w:t>
      </w:r>
      <w:r w:rsidR="00A067F6" w:rsidRPr="008314F8">
        <w:rPr>
          <w:rFonts w:ascii="Arial" w:hAnsi="Arial" w:cs="Arial"/>
          <w:sz w:val="24"/>
          <w:szCs w:val="24"/>
        </w:rPr>
        <w:t xml:space="preserve"> the</w:t>
      </w:r>
      <w:r w:rsidRPr="008314F8">
        <w:rPr>
          <w:rFonts w:ascii="Arial" w:hAnsi="Arial" w:cs="Arial"/>
          <w:sz w:val="24"/>
          <w:szCs w:val="24"/>
        </w:rPr>
        <w:t xml:space="preserve"> two </w:t>
      </w:r>
      <w:r w:rsidR="00A067F6" w:rsidRPr="008314F8">
        <w:rPr>
          <w:rFonts w:ascii="Arial" w:hAnsi="Arial" w:cs="Arial"/>
          <w:sz w:val="24"/>
          <w:szCs w:val="24"/>
        </w:rPr>
        <w:t xml:space="preserve">different category </w:t>
      </w:r>
      <w:r w:rsidRPr="008314F8">
        <w:rPr>
          <w:rFonts w:ascii="Arial" w:hAnsi="Arial" w:cs="Arial"/>
          <w:sz w:val="24"/>
          <w:szCs w:val="24"/>
        </w:rPr>
        <w:t>tabs</w:t>
      </w:r>
      <w:r w:rsidR="00A067F6" w:rsidRPr="008314F8">
        <w:rPr>
          <w:rFonts w:ascii="Arial" w:hAnsi="Arial" w:cs="Arial"/>
          <w:sz w:val="24"/>
          <w:szCs w:val="24"/>
        </w:rPr>
        <w:t xml:space="preserve"> circled below, GGC is in the Category ‘Role Specific Mandatory Modules’ and N</w:t>
      </w:r>
      <w:r w:rsidR="003A68D1" w:rsidRPr="008314F8">
        <w:rPr>
          <w:rFonts w:ascii="Arial" w:hAnsi="Arial" w:cs="Arial"/>
          <w:sz w:val="24"/>
          <w:szCs w:val="24"/>
        </w:rPr>
        <w:t>ES</w:t>
      </w:r>
      <w:r w:rsidR="00A067F6" w:rsidRPr="008314F8">
        <w:rPr>
          <w:rFonts w:ascii="Arial" w:hAnsi="Arial" w:cs="Arial"/>
          <w:sz w:val="24"/>
          <w:szCs w:val="24"/>
        </w:rPr>
        <w:t xml:space="preserve"> is in the category ‘Infection Prevention and Control</w:t>
      </w:r>
      <w:r w:rsidR="003A68D1" w:rsidRPr="008314F8">
        <w:rPr>
          <w:rFonts w:ascii="Arial" w:hAnsi="Arial" w:cs="Arial"/>
          <w:sz w:val="24"/>
          <w:szCs w:val="24"/>
        </w:rPr>
        <w:t>’</w:t>
      </w:r>
      <w:r w:rsidR="00A067F6" w:rsidRPr="008314F8">
        <w:rPr>
          <w:rFonts w:ascii="Arial" w:hAnsi="Arial" w:cs="Arial"/>
          <w:sz w:val="24"/>
          <w:szCs w:val="24"/>
        </w:rPr>
        <w:t xml:space="preserve">. </w:t>
      </w:r>
    </w:p>
    <w:p w:rsidR="00A067F6" w:rsidRDefault="0084379F" w:rsidP="009C5132">
      <w:r>
        <w:rPr>
          <w:noProof/>
          <w:lang w:eastAsia="en-GB"/>
        </w:rPr>
        <w:pict>
          <v:oval id="_x0000_s1026" style="position:absolute;margin-left:103.2pt;margin-top:130.55pt;width:69.95pt;height:19pt;z-index:251658240" filled="f" strokecolor="red" strokeweight="2pt"/>
        </w:pict>
      </w:r>
      <w:r>
        <w:rPr>
          <w:noProof/>
          <w:lang w:eastAsia="en-GB"/>
        </w:rPr>
        <w:pict>
          <v:oval id="_x0000_s1027" style="position:absolute;margin-left:278pt;margin-top:102pt;width:69.95pt;height:19pt;z-index:251659264" filled="f" strokecolor="red" strokeweight="2pt"/>
        </w:pict>
      </w:r>
      <w:r w:rsidR="00A067F6">
        <w:rPr>
          <w:noProof/>
          <w:lang w:eastAsia="en-GB"/>
        </w:rPr>
        <w:drawing>
          <wp:inline distT="0" distB="0" distL="0" distR="0">
            <wp:extent cx="4794490" cy="2226314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61" cy="22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D1" w:rsidRPr="008314F8" w:rsidRDefault="00A067F6" w:rsidP="00A067F6">
      <w:pPr>
        <w:rPr>
          <w:rFonts w:ascii="Arial" w:hAnsi="Arial" w:cs="Arial"/>
          <w:sz w:val="24"/>
        </w:rPr>
      </w:pPr>
      <w:r w:rsidRPr="008314F8">
        <w:rPr>
          <w:rFonts w:ascii="Arial" w:hAnsi="Arial" w:cs="Arial"/>
          <w:sz w:val="24"/>
        </w:rPr>
        <w:t xml:space="preserve">You may have to ‘assign’ </w:t>
      </w:r>
      <w:r w:rsidR="003A68D1" w:rsidRPr="008314F8">
        <w:rPr>
          <w:rFonts w:ascii="Arial" w:hAnsi="Arial" w:cs="Arial"/>
          <w:sz w:val="24"/>
        </w:rPr>
        <w:t xml:space="preserve">1 or both of </w:t>
      </w:r>
      <w:r w:rsidRPr="008314F8">
        <w:rPr>
          <w:rFonts w:ascii="Arial" w:hAnsi="Arial" w:cs="Arial"/>
          <w:sz w:val="24"/>
        </w:rPr>
        <w:t xml:space="preserve">the modules into your own learning portfolio. </w:t>
      </w:r>
      <w:r w:rsidR="003A68D1" w:rsidRPr="008314F8">
        <w:rPr>
          <w:rFonts w:ascii="Arial" w:hAnsi="Arial" w:cs="Arial"/>
          <w:sz w:val="24"/>
        </w:rPr>
        <w:t>In the example above the learner has no modules in the category ‘Role Specific Mandatory Modules’ assigned to him, therefore, he will require to do this</w:t>
      </w:r>
      <w:r w:rsidR="008314F8">
        <w:rPr>
          <w:rFonts w:ascii="Arial" w:hAnsi="Arial" w:cs="Arial"/>
          <w:sz w:val="24"/>
        </w:rPr>
        <w:t xml:space="preserve"> himself</w:t>
      </w:r>
      <w:r w:rsidR="003A68D1" w:rsidRPr="008314F8">
        <w:rPr>
          <w:rFonts w:ascii="Arial" w:hAnsi="Arial" w:cs="Arial"/>
          <w:sz w:val="24"/>
        </w:rPr>
        <w:t xml:space="preserve">. Do this by clicking on the category ‘tab’ </w:t>
      </w:r>
      <w:r w:rsidR="008314F8">
        <w:rPr>
          <w:rFonts w:ascii="Arial" w:hAnsi="Arial" w:cs="Arial"/>
          <w:sz w:val="24"/>
        </w:rPr>
        <w:t xml:space="preserve">(Role Specific Mandatory Modules) </w:t>
      </w:r>
      <w:r w:rsidR="003A68D1" w:rsidRPr="008314F8">
        <w:rPr>
          <w:rFonts w:ascii="Arial" w:hAnsi="Arial" w:cs="Arial"/>
          <w:sz w:val="24"/>
        </w:rPr>
        <w:t>and click on the ‘add’ sign opposite the GGC module as below:</w:t>
      </w:r>
    </w:p>
    <w:p w:rsidR="003A68D1" w:rsidRDefault="0084379F" w:rsidP="00A067F6">
      <w:r>
        <w:rPr>
          <w:noProof/>
          <w:lang w:eastAsia="en-GB"/>
        </w:rPr>
        <w:pict>
          <v:oval id="_x0000_s1029" style="position:absolute;margin-left:304pt;margin-top:101.7pt;width:69.95pt;height:19pt;z-index:251661312" filled="f" strokecolor="red" strokeweight="2pt"/>
        </w:pict>
      </w:r>
      <w:r w:rsidR="003A68D1">
        <w:rPr>
          <w:noProof/>
          <w:lang w:eastAsia="en-GB"/>
        </w:rPr>
        <w:drawing>
          <wp:inline distT="0" distB="0" distL="0" distR="0">
            <wp:extent cx="4684144" cy="2094895"/>
            <wp:effectExtent l="19050" t="0" r="215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91" cy="209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D1" w:rsidRPr="008314F8" w:rsidRDefault="003A68D1" w:rsidP="00A067F6">
      <w:pPr>
        <w:rPr>
          <w:rFonts w:ascii="Arial" w:hAnsi="Arial" w:cs="Arial"/>
          <w:sz w:val="24"/>
        </w:rPr>
      </w:pPr>
      <w:r w:rsidRPr="008314F8">
        <w:rPr>
          <w:rFonts w:ascii="Arial" w:hAnsi="Arial" w:cs="Arial"/>
          <w:sz w:val="24"/>
        </w:rPr>
        <w:lastRenderedPageBreak/>
        <w:t xml:space="preserve">You will be prompted to click ‘Confirm’ and the module will be added to your learning profile along with the category tab. The GGC module can then be opened </w:t>
      </w:r>
      <w:r w:rsidR="008314F8">
        <w:rPr>
          <w:rFonts w:ascii="Arial" w:hAnsi="Arial" w:cs="Arial"/>
          <w:sz w:val="24"/>
        </w:rPr>
        <w:t xml:space="preserve">and completed </w:t>
      </w:r>
      <w:r w:rsidRPr="008314F8">
        <w:rPr>
          <w:rFonts w:ascii="Arial" w:hAnsi="Arial" w:cs="Arial"/>
          <w:sz w:val="24"/>
        </w:rPr>
        <w:t>as normal.</w:t>
      </w:r>
    </w:p>
    <w:p w:rsidR="008314F8" w:rsidRDefault="003A68D1" w:rsidP="008314F8">
      <w:r w:rsidRPr="008314F8">
        <w:rPr>
          <w:rFonts w:ascii="Arial" w:hAnsi="Arial" w:cs="Arial"/>
          <w:sz w:val="24"/>
        </w:rPr>
        <w:t>To locate the NES module, click on the category ‘Infection Prevention and Control’ tab. Find the course titled ‘NES: Scottish IPC Education Pathway – Foundation’, remember you may have to add this to your learning first.</w:t>
      </w:r>
      <w:r w:rsidR="008314F8" w:rsidRPr="008314F8">
        <w:t xml:space="preserve"> </w:t>
      </w:r>
    </w:p>
    <w:p w:rsidR="003A68D1" w:rsidRPr="008314F8" w:rsidRDefault="008314F8" w:rsidP="00A067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Click on the </w:t>
      </w:r>
      <w:r w:rsidRPr="008314F8">
        <w:rPr>
          <w:rFonts w:ascii="Arial" w:hAnsi="Arial" w:cs="Arial"/>
          <w:sz w:val="24"/>
        </w:rPr>
        <w:t>‘Select</w:t>
      </w:r>
      <w:r>
        <w:rPr>
          <w:rFonts w:ascii="Arial" w:hAnsi="Arial" w:cs="Arial"/>
          <w:sz w:val="24"/>
        </w:rPr>
        <w:t>’ button:</w:t>
      </w:r>
    </w:p>
    <w:p w:rsidR="003A68D1" w:rsidRDefault="0084379F" w:rsidP="00A067F6">
      <w:r w:rsidRPr="0084379F">
        <w:rPr>
          <w:rFonts w:ascii="Arial" w:hAnsi="Arial" w:cs="Arial"/>
          <w:noProof/>
          <w:sz w:val="24"/>
          <w:lang w:eastAsia="en-GB"/>
        </w:rPr>
        <w:pict>
          <v:oval id="_x0000_s1030" style="position:absolute;margin-left:313.7pt;margin-top:60.75pt;width:69.95pt;height:19pt;z-index:251662336" filled="f" strokecolor="red" strokeweight="2pt"/>
        </w:pict>
      </w:r>
      <w:r w:rsidR="003A68D1">
        <w:rPr>
          <w:noProof/>
          <w:lang w:eastAsia="en-GB"/>
        </w:rPr>
        <w:drawing>
          <wp:inline distT="0" distB="0" distL="0" distR="0">
            <wp:extent cx="4906633" cy="1319010"/>
            <wp:effectExtent l="19050" t="0" r="826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79" cy="131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D1" w:rsidRPr="008314F8" w:rsidRDefault="008314F8" w:rsidP="00A067F6">
      <w:pPr>
        <w:rPr>
          <w:rFonts w:ascii="Arial" w:hAnsi="Arial" w:cs="Arial"/>
          <w:sz w:val="24"/>
        </w:rPr>
      </w:pPr>
      <w:r w:rsidRPr="008314F8">
        <w:rPr>
          <w:rFonts w:ascii="Arial" w:hAnsi="Arial" w:cs="Arial"/>
          <w:sz w:val="24"/>
        </w:rPr>
        <w:t xml:space="preserve">The page </w:t>
      </w:r>
      <w:r w:rsidR="00741C91">
        <w:rPr>
          <w:rFonts w:ascii="Arial" w:hAnsi="Arial" w:cs="Arial"/>
          <w:sz w:val="24"/>
        </w:rPr>
        <w:t xml:space="preserve">you are taken to </w:t>
      </w:r>
      <w:r w:rsidRPr="008314F8">
        <w:rPr>
          <w:rFonts w:ascii="Arial" w:hAnsi="Arial" w:cs="Arial"/>
          <w:sz w:val="24"/>
        </w:rPr>
        <w:t>contains 15 modules, scroll down until you find the NES module you are looking for titled ‘</w:t>
      </w:r>
      <w:r>
        <w:rPr>
          <w:rFonts w:ascii="Arial" w:hAnsi="Arial" w:cs="Arial"/>
          <w:sz w:val="24"/>
        </w:rPr>
        <w:t>Prevention and Management of Occupational Exposure’ (7</w:t>
      </w:r>
      <w:r w:rsidRPr="008314F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one down) and click on ‘Select’:</w:t>
      </w:r>
    </w:p>
    <w:p w:rsidR="008314F8" w:rsidRDefault="0084379F" w:rsidP="00A067F6">
      <w:r>
        <w:rPr>
          <w:noProof/>
          <w:lang w:eastAsia="en-GB"/>
        </w:rPr>
        <w:pict>
          <v:oval id="_x0000_s1031" style="position:absolute;margin-left:362.85pt;margin-top:113.75pt;width:69.95pt;height:19pt;z-index:251663360" filled="f" strokecolor="red" strokeweight="2pt"/>
        </w:pict>
      </w:r>
      <w:r w:rsidR="008314F8">
        <w:rPr>
          <w:noProof/>
          <w:lang w:eastAsia="en-GB"/>
        </w:rPr>
        <w:drawing>
          <wp:inline distT="0" distB="0" distL="0" distR="0">
            <wp:extent cx="5227808" cy="168215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0357" r="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08" cy="168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F8" w:rsidRPr="00741C91" w:rsidRDefault="008314F8" w:rsidP="00A067F6">
      <w:pPr>
        <w:rPr>
          <w:rFonts w:ascii="Arial" w:hAnsi="Arial" w:cs="Arial"/>
          <w:sz w:val="24"/>
        </w:rPr>
      </w:pPr>
      <w:r w:rsidRPr="00741C91">
        <w:rPr>
          <w:rFonts w:ascii="Arial" w:hAnsi="Arial" w:cs="Arial"/>
          <w:sz w:val="24"/>
        </w:rPr>
        <w:t>You will then get the following screen</w:t>
      </w:r>
      <w:r w:rsidR="00741C91">
        <w:rPr>
          <w:rFonts w:ascii="Arial" w:hAnsi="Arial" w:cs="Arial"/>
          <w:sz w:val="24"/>
        </w:rPr>
        <w:t>, clicking on the ‘Modules’ button will take you through to the module and the assessment module, both will require to be completed.</w:t>
      </w:r>
    </w:p>
    <w:p w:rsidR="00A067F6" w:rsidRDefault="0084379F" w:rsidP="00A067F6">
      <w:pPr>
        <w:rPr>
          <w:noProof/>
          <w:lang w:eastAsia="en-GB"/>
        </w:rPr>
      </w:pPr>
      <w:r>
        <w:rPr>
          <w:noProof/>
          <w:lang w:eastAsia="en-GB"/>
        </w:rPr>
        <w:pict>
          <v:oval id="_x0000_s1032" style="position:absolute;margin-left:369.6pt;margin-top:78.05pt;width:69.95pt;height:19pt;z-index:251664384" filled="f" strokecolor="red" strokeweight="2pt"/>
        </w:pict>
      </w:r>
      <w:r w:rsidR="008314F8">
        <w:rPr>
          <w:noProof/>
          <w:lang w:eastAsia="en-GB"/>
        </w:rPr>
        <w:drawing>
          <wp:inline distT="0" distB="0" distL="0" distR="0">
            <wp:extent cx="5577589" cy="2355012"/>
            <wp:effectExtent l="19050" t="0" r="4061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89" cy="235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7F6">
        <w:rPr>
          <w:noProof/>
          <w:lang w:eastAsia="en-GB"/>
        </w:rPr>
        <w:t xml:space="preserve"> </w:t>
      </w:r>
    </w:p>
    <w:p w:rsidR="009C5132" w:rsidRDefault="0084379F" w:rsidP="009C5132">
      <w:r>
        <w:rPr>
          <w:noProof/>
          <w:lang w:eastAsia="en-GB"/>
        </w:rPr>
        <w:pict>
          <v:oval id="_x0000_s1028" style="position:absolute;margin-left:-260.8pt;margin-top:117.85pt;width:69.95pt;height:19pt;z-index:251660288" filled="f" strokecolor="red" strokeweight="2pt"/>
        </w:pict>
      </w:r>
    </w:p>
    <w:sectPr w:rsidR="009C5132" w:rsidSect="008314F8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FE" w:rsidRDefault="003760FE" w:rsidP="00741C91">
      <w:pPr>
        <w:spacing w:after="0" w:line="240" w:lineRule="auto"/>
      </w:pPr>
      <w:r>
        <w:separator/>
      </w:r>
    </w:p>
  </w:endnote>
  <w:endnote w:type="continuationSeparator" w:id="0">
    <w:p w:rsidR="003760FE" w:rsidRDefault="003760FE" w:rsidP="007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FE" w:rsidRPr="00741C91" w:rsidRDefault="003760FE">
    <w:pPr>
      <w:pStyle w:val="Footer"/>
      <w:rPr>
        <w:rFonts w:ascii="Arial" w:hAnsi="Arial" w:cs="Arial"/>
        <w:sz w:val="16"/>
      </w:rPr>
    </w:pPr>
    <w:r w:rsidRPr="00741C91">
      <w:rPr>
        <w:rFonts w:ascii="Arial" w:hAnsi="Arial" w:cs="Arial"/>
        <w:sz w:val="16"/>
      </w:rPr>
      <w:t>Health &amp; Safety Service, CR, September 2018</w:t>
    </w:r>
    <w:r w:rsidR="0062471A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FE" w:rsidRDefault="003760FE" w:rsidP="00741C91">
      <w:pPr>
        <w:spacing w:after="0" w:line="240" w:lineRule="auto"/>
      </w:pPr>
      <w:r>
        <w:separator/>
      </w:r>
    </w:p>
  </w:footnote>
  <w:footnote w:type="continuationSeparator" w:id="0">
    <w:p w:rsidR="003760FE" w:rsidRDefault="003760FE" w:rsidP="0074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FE" w:rsidRDefault="00376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E0B"/>
    <w:multiLevelType w:val="hybridMultilevel"/>
    <w:tmpl w:val="09B6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776B"/>
    <w:multiLevelType w:val="hybridMultilevel"/>
    <w:tmpl w:val="594AC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5132"/>
    <w:rsid w:val="000F534A"/>
    <w:rsid w:val="001B18F6"/>
    <w:rsid w:val="00282BA9"/>
    <w:rsid w:val="002B04CC"/>
    <w:rsid w:val="003760FE"/>
    <w:rsid w:val="003A68D1"/>
    <w:rsid w:val="003F2D85"/>
    <w:rsid w:val="005850DE"/>
    <w:rsid w:val="005A0C72"/>
    <w:rsid w:val="0062471A"/>
    <w:rsid w:val="00741C91"/>
    <w:rsid w:val="00750B63"/>
    <w:rsid w:val="008314F8"/>
    <w:rsid w:val="0084379F"/>
    <w:rsid w:val="00847DC1"/>
    <w:rsid w:val="00950181"/>
    <w:rsid w:val="009C5132"/>
    <w:rsid w:val="00A067F6"/>
    <w:rsid w:val="00AC1EF6"/>
    <w:rsid w:val="00B433CC"/>
    <w:rsid w:val="00B83BCA"/>
    <w:rsid w:val="00BA3498"/>
    <w:rsid w:val="00CD3A0C"/>
    <w:rsid w:val="00D52075"/>
    <w:rsid w:val="00F06160"/>
    <w:rsid w:val="00F0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1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C91"/>
  </w:style>
  <w:style w:type="paragraph" w:styleId="Footer">
    <w:name w:val="footer"/>
    <w:basedOn w:val="Normal"/>
    <w:link w:val="FooterChar"/>
    <w:uiPriority w:val="99"/>
    <w:semiHidden/>
    <w:unhideWhenUsed/>
    <w:rsid w:val="0074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hs.learnprouk.com/lms/user_level/NavigatorHome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raebuca609</dc:creator>
  <cp:lastModifiedBy>raebuca609</cp:lastModifiedBy>
  <cp:revision>4</cp:revision>
  <dcterms:created xsi:type="dcterms:W3CDTF">2018-09-05T19:21:00Z</dcterms:created>
  <dcterms:modified xsi:type="dcterms:W3CDTF">2018-10-11T14:22:00Z</dcterms:modified>
</cp:coreProperties>
</file>