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A" w:rsidRPr="00F76F74" w:rsidRDefault="00DC601A" w:rsidP="00CC29C8">
      <w:pPr>
        <w:pStyle w:val="Heading1"/>
        <w:numPr>
          <w:ilvl w:val="0"/>
          <w:numId w:val="0"/>
        </w:numPr>
        <w:spacing w:before="120" w:after="120"/>
        <w:rPr>
          <w:rFonts w:eastAsiaTheme="minorHAnsi"/>
          <w:b w:val="0"/>
          <w:bCs w:val="0"/>
        </w:rPr>
      </w:pPr>
      <w:bookmarkStart w:id="0" w:name="_Toc528846137"/>
      <w:proofErr w:type="spellStart"/>
      <w:r>
        <w:t>Norovirus</w:t>
      </w:r>
      <w:proofErr w:type="spellEnd"/>
      <w:r>
        <w:t xml:space="preserve"> Outbreak Checklist</w:t>
      </w:r>
      <w:bookmarkEnd w:id="0"/>
      <w:r>
        <w:t xml:space="preserve"> </w:t>
      </w:r>
    </w:p>
    <w:p w:rsidR="00DC601A" w:rsidRPr="00F76F74" w:rsidRDefault="00DC601A" w:rsidP="00DC601A">
      <w:pPr>
        <w:spacing w:before="240" w:after="0"/>
        <w:rPr>
          <w:rFonts w:ascii="Arial" w:hAnsi="Arial" w:cs="Arial"/>
          <w:b/>
        </w:rPr>
      </w:pPr>
      <w:r w:rsidRPr="00F76F74">
        <w:rPr>
          <w:rFonts w:ascii="Arial" w:hAnsi="Arial" w:cs="Arial"/>
          <w:b/>
        </w:rPr>
        <w:t xml:space="preserve">Complete as soon as a </w:t>
      </w:r>
      <w:proofErr w:type="spellStart"/>
      <w:r w:rsidRPr="00F76F74">
        <w:rPr>
          <w:rFonts w:ascii="Arial" w:hAnsi="Arial" w:cs="Arial"/>
          <w:b/>
        </w:rPr>
        <w:t>norovirus</w:t>
      </w:r>
      <w:proofErr w:type="spellEnd"/>
      <w:r w:rsidRPr="00F76F74">
        <w:rPr>
          <w:rFonts w:ascii="Arial" w:hAnsi="Arial" w:cs="Arial"/>
          <w:b/>
        </w:rPr>
        <w:t xml:space="preserve"> outbreak is suspected</w:t>
      </w:r>
    </w:p>
    <w:tbl>
      <w:tblPr>
        <w:tblStyle w:val="TableGrid"/>
        <w:tblpPr w:leftFromText="180" w:rightFromText="180" w:vertAnchor="text" w:horzAnchor="margin" w:tblpY="303"/>
        <w:tblW w:w="9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429"/>
        <w:gridCol w:w="4610"/>
        <w:gridCol w:w="210"/>
        <w:gridCol w:w="567"/>
      </w:tblGrid>
      <w:tr w:rsidR="00DC601A" w:rsidTr="00784849">
        <w:tc>
          <w:tcPr>
            <w:tcW w:w="4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C601A" w:rsidRPr="00273E61" w:rsidRDefault="00DC601A" w:rsidP="00784849">
            <w:pPr>
              <w:rPr>
                <w:rFonts w:ascii="Arial" w:hAnsi="Arial" w:cs="Arial"/>
                <w:b/>
              </w:rPr>
            </w:pPr>
            <w:r w:rsidRPr="00273E61">
              <w:rPr>
                <w:rFonts w:ascii="Arial" w:hAnsi="Arial" w:cs="Arial"/>
                <w:b/>
              </w:rPr>
              <w:t xml:space="preserve">DAY 0 ACTIONS 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601A" w:rsidRPr="008371F7" w:rsidRDefault="00DC601A" w:rsidP="0078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F7">
              <w:rPr>
                <w:rFonts w:ascii="Arial" w:hAnsi="Arial" w:cs="Arial"/>
                <w:b/>
                <w:sz w:val="20"/>
                <w:szCs w:val="20"/>
              </w:rPr>
              <w:t>Date the outbreak was identified:</w:t>
            </w:r>
          </w:p>
        </w:tc>
      </w:tr>
      <w:tr w:rsidR="00DC601A" w:rsidTr="00784849">
        <w:tc>
          <w:tcPr>
            <w:tcW w:w="903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  <w:b/>
              </w:rPr>
              <w:t xml:space="preserve">             PATIENT PLACEMENT, TRANSFERS &amp; ADMISSIONS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C6D9F1" w:themeFill="text2" w:themeFillTint="33"/>
          </w:tcPr>
          <w:p w:rsidR="00DC601A" w:rsidRPr="008371F7" w:rsidRDefault="00DC601A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Tick: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Symptomatic residents asked to remain in their rooms with doors closed and discouraged from using communal areas until symptom-free for ≥48 hours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Discuss suspension of non-essential care home admissions with the Health Protection Team (HPT)</w:t>
            </w:r>
          </w:p>
        </w:tc>
        <w:tc>
          <w:tcPr>
            <w:tcW w:w="567" w:type="dxa"/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Following HPT advice, all inter-care transfers/medical appointments suspended unless clinically essential and receiving units (ambulances/hospitals) informed of the situation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  <w:b/>
              </w:rPr>
            </w:pPr>
            <w:r w:rsidRPr="00273E61">
              <w:rPr>
                <w:rFonts w:ascii="Arial" w:hAnsi="Arial" w:cs="Arial"/>
                <w:b/>
              </w:rPr>
              <w:t>INFORMATION/ADVICE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Local Health Protection Team (HPT) contacted and informed of the situation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Symptomatic residents’ GPs contacted, and clinical advice sought if required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All staff members (housekeeping, catering, care) have been informed of the situation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All residents/visitors informed and given </w:t>
            </w:r>
            <w:r>
              <w:rPr>
                <w:rFonts w:ascii="Arial" w:hAnsi="Arial" w:cs="Arial"/>
              </w:rPr>
              <w:t>‘</w:t>
            </w:r>
            <w:proofErr w:type="spellStart"/>
            <w:r>
              <w:rPr>
                <w:rFonts w:ascii="Arial" w:hAnsi="Arial" w:cs="Arial"/>
              </w:rPr>
              <w:t>Norovirus</w:t>
            </w:r>
            <w:proofErr w:type="spellEnd"/>
            <w:r>
              <w:rPr>
                <w:rFonts w:ascii="Arial" w:hAnsi="Arial" w:cs="Arial"/>
              </w:rPr>
              <w:t xml:space="preserve"> – Information for residents and visitors’ </w:t>
            </w:r>
            <w:r w:rsidRPr="00273E61">
              <w:rPr>
                <w:rFonts w:ascii="Arial" w:hAnsi="Arial" w:cs="Arial"/>
              </w:rPr>
              <w:t xml:space="preserve"> Sheet and Washing Clothes at Home </w:t>
            </w:r>
            <w:hyperlink r:id="rId7" w:history="1">
              <w:r w:rsidRPr="00273E61">
                <w:rPr>
                  <w:rStyle w:val="Hyperlink"/>
                  <w:rFonts w:ascii="Arial" w:hAnsi="Arial" w:cs="Arial"/>
                </w:rPr>
                <w:t>Leaflets</w:t>
              </w:r>
            </w:hyperlink>
          </w:p>
        </w:tc>
        <w:tc>
          <w:tcPr>
            <w:tcW w:w="567" w:type="dxa"/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Appropriate posters displayed in highly visible locations on entry to the home and affected areas </w:t>
            </w:r>
          </w:p>
        </w:tc>
        <w:tc>
          <w:tcPr>
            <w:tcW w:w="567" w:type="dxa"/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The </w:t>
            </w:r>
            <w:proofErr w:type="spellStart"/>
            <w:r w:rsidRPr="00273E61">
              <w:rPr>
                <w:rFonts w:ascii="Arial" w:hAnsi="Arial" w:cs="Arial"/>
                <w:color w:val="0000FF"/>
              </w:rPr>
              <w:t>Norovirus</w:t>
            </w:r>
            <w:proofErr w:type="spellEnd"/>
            <w:r w:rsidRPr="00273E61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 xml:space="preserve">Outbreak </w:t>
            </w:r>
            <w:r w:rsidRPr="00273E61">
              <w:rPr>
                <w:rFonts w:ascii="Arial" w:hAnsi="Arial" w:cs="Arial"/>
                <w:color w:val="0000FF"/>
              </w:rPr>
              <w:t xml:space="preserve">Daily </w:t>
            </w:r>
            <w:r>
              <w:rPr>
                <w:rFonts w:ascii="Arial" w:hAnsi="Arial" w:cs="Arial"/>
                <w:color w:val="0000FF"/>
              </w:rPr>
              <w:t xml:space="preserve">Actions </w:t>
            </w:r>
            <w:r w:rsidRPr="00273E61">
              <w:rPr>
                <w:rFonts w:ascii="Arial" w:hAnsi="Arial" w:cs="Arial"/>
                <w:color w:val="0000FF"/>
              </w:rPr>
              <w:t>Checklist</w:t>
            </w:r>
            <w:r w:rsidRPr="00273E61">
              <w:rPr>
                <w:rFonts w:ascii="Arial" w:hAnsi="Arial" w:cs="Arial"/>
              </w:rPr>
              <w:t xml:space="preserve"> is in place and being used by care staff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  <w:b/>
              </w:rPr>
            </w:pPr>
            <w:r w:rsidRPr="00273E61">
              <w:rPr>
                <w:rFonts w:ascii="Arial" w:hAnsi="Arial" w:cs="Arial"/>
                <w:b/>
              </w:rPr>
              <w:t>CLINICAL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Stool samples collected and sent to laboratory (on advice of HPT)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Stool chart started for all symptomatic patients and daily hydration checks in place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  <w:b/>
              </w:rPr>
              <w:t>STAFF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Any staff member reporting symptoms have been sent home immediately and referred to their GP for stool sampling (on advice from HPT)</w:t>
            </w:r>
          </w:p>
          <w:p w:rsidR="00DC601A" w:rsidRPr="00273E61" w:rsidRDefault="00DC601A" w:rsidP="00784849">
            <w:pPr>
              <w:rPr>
                <w:rFonts w:ascii="Arial" w:hAnsi="Arial" w:cs="Arial"/>
                <w:i/>
              </w:rPr>
            </w:pPr>
            <w:r w:rsidRPr="00273E61">
              <w:rPr>
                <w:rFonts w:ascii="Arial" w:hAnsi="Arial" w:cs="Arial"/>
                <w:i/>
              </w:rPr>
              <w:t>(Recovering staff can return to work once symptom-free for ≥48 hours)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Non-essential staff have been contacted and advised not to attend </w:t>
            </w:r>
          </w:p>
        </w:tc>
        <w:tc>
          <w:tcPr>
            <w:tcW w:w="567" w:type="dxa"/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Where possible, care staff allocated to symptomatic or non-symptomatic residents, but not both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  <w:b/>
              </w:rPr>
              <w:t>VISITORS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Temporary suspension of visiting has been discussed with the HPT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Any visitors reporting symptoms have been sent home immediately and discouraged from visiting until symptom-free for ≥48 hours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  <w:b/>
              </w:rPr>
              <w:t>HAND HYGIENE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Staff/visitors/residents have been advised to use liquid soap and warm water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Residents encouraged and assisted to wash hands before meals and after using the toilet</w:t>
            </w:r>
          </w:p>
        </w:tc>
        <w:tc>
          <w:tcPr>
            <w:tcW w:w="567" w:type="dxa"/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Staff advised to wash hands after every episode of care, after cleaning, and prior to entering or leaving a residents room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  <w:b/>
              </w:rPr>
              <w:t>PERSONAL PROTECTIVE EQUIPMENT (PPE)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Disposable aprons and gloves are worn during direct care, when cleaning and changing bed linen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Fluid resistant surgical face masks (FRSM) worn if vomiting is present and when cleaning up spills of vomit/diarrhoea</w:t>
            </w:r>
          </w:p>
        </w:tc>
        <w:tc>
          <w:tcPr>
            <w:tcW w:w="567" w:type="dxa"/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Hand hygiene is performed before putting on, and after taking off, PPE</w:t>
            </w:r>
          </w:p>
        </w:tc>
        <w:tc>
          <w:tcPr>
            <w:tcW w:w="567" w:type="dxa"/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PPE used for one procedure/episode of care then discarded as healthcare waste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  <w:b/>
              </w:rPr>
            </w:pPr>
            <w:r w:rsidRPr="00273E61">
              <w:rPr>
                <w:rFonts w:ascii="Arial" w:hAnsi="Arial" w:cs="Arial"/>
                <w:b/>
              </w:rPr>
              <w:t>CARE EQUIPMENT</w:t>
            </w:r>
          </w:p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eastAsia="Calibri" w:hAnsi="Arial" w:cs="Arial"/>
              </w:rPr>
              <w:t>Single use care equipment is in use wherever possible; other care equipment (</w:t>
            </w:r>
            <w:r w:rsidRPr="00273E61">
              <w:rPr>
                <w:rFonts w:ascii="Arial" w:eastAsia="Calibri" w:hAnsi="Arial" w:cs="Arial"/>
                <w:i/>
              </w:rPr>
              <w:t>such as commodes, wash bowls, lifting equipment</w:t>
            </w:r>
            <w:r w:rsidRPr="00273E61">
              <w:rPr>
                <w:rFonts w:ascii="Arial" w:eastAsia="Calibri" w:hAnsi="Arial" w:cs="Arial"/>
              </w:rPr>
              <w:t xml:space="preserve">) is dedicated to a single patient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24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All reusable care equipment is decontaminated between each use using a cleaning agent with 1000 parts per million (</w:t>
            </w:r>
            <w:proofErr w:type="spellStart"/>
            <w:r w:rsidRPr="00273E61">
              <w:rPr>
                <w:rFonts w:ascii="Arial" w:hAnsi="Arial" w:cs="Arial"/>
              </w:rPr>
              <w:t>ppm</w:t>
            </w:r>
            <w:proofErr w:type="spellEnd"/>
            <w:r w:rsidRPr="00273E61">
              <w:rPr>
                <w:rFonts w:ascii="Arial" w:hAnsi="Arial" w:cs="Arial"/>
              </w:rPr>
              <w:t>) available chlorine (</w:t>
            </w:r>
            <w:proofErr w:type="spellStart"/>
            <w:r w:rsidRPr="00273E61">
              <w:rPr>
                <w:rFonts w:ascii="Arial" w:hAnsi="Arial" w:cs="Arial"/>
              </w:rPr>
              <w:t>av</w:t>
            </w:r>
            <w:proofErr w:type="spellEnd"/>
            <w:r w:rsidRPr="00273E61">
              <w:rPr>
                <w:rFonts w:ascii="Arial" w:hAnsi="Arial" w:cs="Arial"/>
              </w:rPr>
              <w:t xml:space="preserve"> </w:t>
            </w:r>
            <w:proofErr w:type="spellStart"/>
            <w:r w:rsidRPr="00273E61">
              <w:rPr>
                <w:rFonts w:ascii="Arial" w:hAnsi="Arial" w:cs="Arial"/>
              </w:rPr>
              <w:t>cl</w:t>
            </w:r>
            <w:proofErr w:type="spellEnd"/>
            <w:r w:rsidRPr="00273E61">
              <w:rPr>
                <w:rFonts w:ascii="Arial" w:hAnsi="Arial" w:cs="Arial"/>
              </w:rPr>
              <w:t xml:space="preserve">.) as per </w:t>
            </w:r>
            <w:hyperlink r:id="rId8" w:history="1">
              <w:r w:rsidRPr="00273E61">
                <w:rPr>
                  <w:rStyle w:val="Hyperlink"/>
                  <w:rFonts w:ascii="Arial" w:hAnsi="Arial" w:cs="Arial"/>
                </w:rPr>
                <w:t>Appendix 7</w:t>
              </w:r>
            </w:hyperlink>
            <w:r w:rsidRPr="00273E61">
              <w:rPr>
                <w:rFonts w:ascii="Arial" w:hAnsi="Arial" w:cs="Arial"/>
              </w:rPr>
              <w:t xml:space="preserve"> of the NIPCM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DC601A" w:rsidRPr="00C54621" w:rsidRDefault="00DC601A" w:rsidP="00784849"/>
        </w:tc>
      </w:tr>
      <w:tr w:rsidR="00DC601A" w:rsidTr="00784849">
        <w:tc>
          <w:tcPr>
            <w:tcW w:w="98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C601A" w:rsidRPr="00273E61" w:rsidRDefault="00DC601A" w:rsidP="00784849">
            <w:pPr>
              <w:jc w:val="center"/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  <w:b/>
              </w:rPr>
              <w:lastRenderedPageBreak/>
              <w:t>CLEANING</w:t>
            </w:r>
          </w:p>
        </w:tc>
      </w:tr>
      <w:tr w:rsidR="00DC601A" w:rsidRPr="008371F7" w:rsidTr="00784849">
        <w:tc>
          <w:tcPr>
            <w:tcW w:w="9249" w:type="dxa"/>
            <w:gridSpan w:val="3"/>
            <w:tcBorders>
              <w:top w:val="single" w:sz="4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  <w:i/>
              </w:rPr>
            </w:pPr>
            <w:r w:rsidRPr="00273E61">
              <w:rPr>
                <w:rFonts w:ascii="Arial" w:hAnsi="Arial" w:cs="Arial"/>
              </w:rPr>
              <w:t xml:space="preserve">Staff to commence </w:t>
            </w:r>
            <w:r w:rsidRPr="00273E61">
              <w:rPr>
                <w:rFonts w:ascii="Arial" w:hAnsi="Arial" w:cs="Arial"/>
                <w:b/>
              </w:rPr>
              <w:t>enhanced cleaning</w:t>
            </w:r>
            <w:r w:rsidRPr="00273E61">
              <w:rPr>
                <w:rFonts w:ascii="Arial" w:hAnsi="Arial" w:cs="Arial"/>
              </w:rPr>
              <w:t xml:space="preserve"> of symptomatic residents rooms preferably at least twice daily </w:t>
            </w:r>
            <w:r w:rsidRPr="00273E61">
              <w:rPr>
                <w:rFonts w:ascii="Arial" w:hAnsi="Arial" w:cs="Arial"/>
                <w:i/>
              </w:rPr>
              <w:t xml:space="preserve"> (use </w:t>
            </w:r>
            <w:r w:rsidRPr="00273E61">
              <w:rPr>
                <w:rFonts w:ascii="Arial" w:hAnsi="Arial" w:cs="Arial"/>
                <w:bCs/>
                <w:i/>
              </w:rPr>
              <w:t xml:space="preserve">combined detergent/disinfectant containing 1,000 </w:t>
            </w:r>
            <w:proofErr w:type="spellStart"/>
            <w:r w:rsidRPr="00273E61">
              <w:rPr>
                <w:rFonts w:ascii="Arial" w:hAnsi="Arial" w:cs="Arial"/>
                <w:bCs/>
                <w:i/>
              </w:rPr>
              <w:t>ppm</w:t>
            </w:r>
            <w:proofErr w:type="spellEnd"/>
            <w:r w:rsidRPr="00273E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273E61">
              <w:rPr>
                <w:rFonts w:ascii="Arial" w:hAnsi="Arial" w:cs="Arial"/>
                <w:bCs/>
                <w:i/>
              </w:rPr>
              <w:t>av</w:t>
            </w:r>
            <w:proofErr w:type="spellEnd"/>
            <w:r w:rsidRPr="00273E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273E61">
              <w:rPr>
                <w:rFonts w:ascii="Arial" w:hAnsi="Arial" w:cs="Arial"/>
                <w:bCs/>
                <w:i/>
              </w:rPr>
              <w:t>cl</w:t>
            </w:r>
            <w:proofErr w:type="spellEnd"/>
            <w:r w:rsidRPr="00273E61">
              <w:rPr>
                <w:rFonts w:ascii="Arial" w:hAnsi="Arial" w:cs="Arial"/>
                <w:bCs/>
                <w:i/>
              </w:rPr>
              <w:t>;</w:t>
            </w:r>
            <w:r w:rsidRPr="00273E61">
              <w:rPr>
                <w:rFonts w:ascii="Arial" w:hAnsi="Arial" w:cs="Arial"/>
                <w:i/>
              </w:rPr>
              <w:t xml:space="preserve"> include all hard surfaces, equipment, and frequently touched surfaces e.g. door handles, light switches, bed rails)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01A" w:rsidRPr="008371F7" w:rsidRDefault="00DC601A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1A" w:rsidRPr="008371F7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Spillages of vomit/diarrhoea cleaned immediately as per </w:t>
            </w:r>
            <w:hyperlink r:id="rId9" w:history="1">
              <w:r w:rsidRPr="00273E61">
                <w:rPr>
                  <w:rStyle w:val="Hyperlink"/>
                  <w:rFonts w:ascii="Arial" w:hAnsi="Arial" w:cs="Arial"/>
                </w:rPr>
                <w:t>Appendix 9</w:t>
              </w:r>
            </w:hyperlink>
            <w:r w:rsidRPr="00273E61">
              <w:rPr>
                <w:rFonts w:ascii="Arial" w:hAnsi="Arial" w:cs="Arial"/>
              </w:rPr>
              <w:t xml:space="preserve"> of the NIPCM</w:t>
            </w:r>
          </w:p>
          <w:p w:rsidR="00DC601A" w:rsidRPr="00EA0775" w:rsidRDefault="00DC601A" w:rsidP="00784849">
            <w:pPr>
              <w:rPr>
                <w:rFonts w:ascii="Arial" w:hAnsi="Arial" w:cs="Arial"/>
              </w:rPr>
            </w:pPr>
            <w:r w:rsidRPr="00EA0775">
              <w:rPr>
                <w:rFonts w:ascii="Arial" w:hAnsi="Arial" w:cs="Arial"/>
              </w:rPr>
              <w:t xml:space="preserve">(spillage removed with paper towels; area disinfected using a cleaning agent containing 1,000 </w:t>
            </w:r>
            <w:proofErr w:type="spellStart"/>
            <w:r w:rsidRPr="00EA0775">
              <w:rPr>
                <w:rFonts w:ascii="Arial" w:hAnsi="Arial" w:cs="Arial"/>
              </w:rPr>
              <w:t>ppm</w:t>
            </w:r>
            <w:proofErr w:type="spellEnd"/>
            <w:r w:rsidRPr="00EA0775">
              <w:rPr>
                <w:rFonts w:ascii="Arial" w:hAnsi="Arial" w:cs="Arial"/>
              </w:rPr>
              <w:t xml:space="preserve"> </w:t>
            </w:r>
            <w:proofErr w:type="spellStart"/>
            <w:r w:rsidRPr="00EA0775">
              <w:rPr>
                <w:rFonts w:ascii="Arial" w:hAnsi="Arial" w:cs="Arial"/>
              </w:rPr>
              <w:t>av</w:t>
            </w:r>
            <w:proofErr w:type="spellEnd"/>
            <w:r w:rsidRPr="00EA0775">
              <w:rPr>
                <w:rFonts w:ascii="Arial" w:hAnsi="Arial" w:cs="Arial"/>
              </w:rPr>
              <w:t xml:space="preserve"> </w:t>
            </w:r>
            <w:proofErr w:type="spellStart"/>
            <w:r w:rsidRPr="00EA0775">
              <w:rPr>
                <w:rFonts w:ascii="Arial" w:hAnsi="Arial" w:cs="Arial"/>
              </w:rPr>
              <w:t>cl</w:t>
            </w:r>
            <w:proofErr w:type="spellEnd"/>
            <w:r w:rsidRPr="00EA0775">
              <w:rPr>
                <w:rFonts w:ascii="Arial" w:hAnsi="Arial" w:cs="Arial"/>
              </w:rPr>
              <w:t>. Include a 3 metre circumference; treat all waste arising from cleaning as infectious)</w:t>
            </w:r>
          </w:p>
        </w:tc>
        <w:tc>
          <w:tcPr>
            <w:tcW w:w="567" w:type="dxa"/>
          </w:tcPr>
          <w:p w:rsidR="00DC601A" w:rsidRPr="008371F7" w:rsidRDefault="00DC601A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1A" w:rsidRPr="008371F7" w:rsidTr="00784849">
        <w:trPr>
          <w:trHeight w:val="642"/>
        </w:trPr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Bed linen treated as infectious and placed in a water-soluble bag for laundering as per </w:t>
            </w:r>
            <w:hyperlink r:id="rId10" w:history="1">
              <w:r w:rsidRPr="00273E61">
                <w:rPr>
                  <w:rStyle w:val="Hyperlink"/>
                  <w:rFonts w:ascii="Arial" w:hAnsi="Arial" w:cs="Arial"/>
                </w:rPr>
                <w:t>Appendix 8</w:t>
              </w:r>
            </w:hyperlink>
            <w:r w:rsidRPr="00273E61">
              <w:rPr>
                <w:rFonts w:ascii="Arial" w:hAnsi="Arial" w:cs="Arial"/>
              </w:rPr>
              <w:t xml:space="preserve"> of the NIPCM</w:t>
            </w:r>
          </w:p>
        </w:tc>
        <w:tc>
          <w:tcPr>
            <w:tcW w:w="567" w:type="dxa"/>
          </w:tcPr>
          <w:p w:rsidR="00DC601A" w:rsidRPr="008371F7" w:rsidRDefault="00DC601A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1A" w:rsidRPr="008371F7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 xml:space="preserve">Carpets and soft furnishings decontaminated with hot soapy water (or carpet shampoo) and steam cleaned (if available) according to manufacturer instructions as per </w:t>
            </w:r>
            <w:hyperlink r:id="rId11" w:history="1">
              <w:r w:rsidRPr="00273E61">
                <w:rPr>
                  <w:rStyle w:val="Hyperlink"/>
                  <w:rFonts w:ascii="Arial" w:hAnsi="Arial" w:cs="Arial"/>
                </w:rPr>
                <w:t>Appendix 9</w:t>
              </w:r>
            </w:hyperlink>
            <w:r w:rsidRPr="00273E61">
              <w:rPr>
                <w:rFonts w:ascii="Arial" w:hAnsi="Arial" w:cs="Arial"/>
              </w:rPr>
              <w:t xml:space="preserve"> of the NIPCM</w:t>
            </w:r>
          </w:p>
        </w:tc>
        <w:tc>
          <w:tcPr>
            <w:tcW w:w="567" w:type="dxa"/>
          </w:tcPr>
          <w:p w:rsidR="00DC601A" w:rsidRPr="008371F7" w:rsidRDefault="00DC601A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1A" w:rsidRPr="008371F7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Disposable cloths and washable mops are in use in affected areas</w:t>
            </w:r>
          </w:p>
        </w:tc>
        <w:tc>
          <w:tcPr>
            <w:tcW w:w="567" w:type="dxa"/>
          </w:tcPr>
          <w:p w:rsidR="00DC601A" w:rsidRPr="008371F7" w:rsidRDefault="00DC601A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1A" w:rsidRPr="008371F7" w:rsidTr="00784849">
        <w:tc>
          <w:tcPr>
            <w:tcW w:w="9249" w:type="dxa"/>
            <w:gridSpan w:val="3"/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A terminal clean of residents rooms performed once resident is symptom-free for ≥48 hours; curtains, linen, carpets and soft furnishings included</w:t>
            </w:r>
          </w:p>
        </w:tc>
        <w:tc>
          <w:tcPr>
            <w:tcW w:w="567" w:type="dxa"/>
          </w:tcPr>
          <w:p w:rsidR="00DC601A" w:rsidRPr="008371F7" w:rsidRDefault="00DC601A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1A" w:rsidRPr="008371F7" w:rsidTr="00784849">
        <w:tc>
          <w:tcPr>
            <w:tcW w:w="9249" w:type="dxa"/>
            <w:gridSpan w:val="3"/>
            <w:tcBorders>
              <w:bottom w:val="single" w:sz="12" w:space="0" w:color="auto"/>
            </w:tcBorders>
          </w:tcPr>
          <w:p w:rsidR="00DC601A" w:rsidRPr="00273E61" w:rsidRDefault="00DC601A" w:rsidP="00784849">
            <w:pPr>
              <w:rPr>
                <w:rFonts w:ascii="Arial" w:hAnsi="Arial" w:cs="Arial"/>
              </w:rPr>
            </w:pPr>
            <w:r w:rsidRPr="00273E61">
              <w:rPr>
                <w:rFonts w:ascii="Arial" w:hAnsi="Arial" w:cs="Arial"/>
              </w:rPr>
              <w:t>A terminal clean of the wider facility performed once all residents and staff have been symptom-free for ≥48 hours (i.e. once the outbreak is over, with HPT agreement)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601A" w:rsidRPr="008371F7" w:rsidRDefault="00DC601A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01A" w:rsidRPr="008371F7" w:rsidRDefault="00DC601A" w:rsidP="00DC601A">
      <w:pPr>
        <w:rPr>
          <w:rFonts w:ascii="Arial" w:hAnsi="Arial" w:cs="Arial"/>
          <w:sz w:val="20"/>
          <w:szCs w:val="20"/>
        </w:rPr>
      </w:pPr>
    </w:p>
    <w:p w:rsidR="00DC601A" w:rsidRDefault="00DC601A" w:rsidP="00DC601A">
      <w:pPr>
        <w:spacing w:after="120"/>
        <w:jc w:val="center"/>
        <w:rPr>
          <w:rFonts w:ascii="Arial" w:hAnsi="Arial" w:cs="Arial"/>
        </w:rPr>
      </w:pPr>
      <w:r w:rsidRPr="00273E61">
        <w:rPr>
          <w:rFonts w:ascii="Arial" w:hAnsi="Arial" w:cs="Arial"/>
        </w:rPr>
        <w:t>Further information on Standard Infection Control Precautions (</w:t>
      </w:r>
      <w:proofErr w:type="spellStart"/>
      <w:r w:rsidRPr="00273E61">
        <w:rPr>
          <w:rFonts w:ascii="Arial" w:hAnsi="Arial" w:cs="Arial"/>
        </w:rPr>
        <w:t>SICPs</w:t>
      </w:r>
      <w:proofErr w:type="spellEnd"/>
      <w:r w:rsidRPr="00273E61">
        <w:rPr>
          <w:rFonts w:ascii="Arial" w:hAnsi="Arial" w:cs="Arial"/>
        </w:rPr>
        <w:t>) and Transmission Based Precautions (</w:t>
      </w:r>
      <w:proofErr w:type="spellStart"/>
      <w:r w:rsidRPr="00273E61">
        <w:rPr>
          <w:rFonts w:ascii="Arial" w:hAnsi="Arial" w:cs="Arial"/>
        </w:rPr>
        <w:t>TBPs</w:t>
      </w:r>
      <w:proofErr w:type="spellEnd"/>
      <w:r w:rsidRPr="00273E61">
        <w:rPr>
          <w:rFonts w:ascii="Arial" w:hAnsi="Arial" w:cs="Arial"/>
        </w:rPr>
        <w:t xml:space="preserve">) can be found in the National Infection Prevention and Control Manual (NIPCM) </w:t>
      </w:r>
      <w:hyperlink r:id="rId12" w:history="1">
        <w:r w:rsidRPr="00273E61">
          <w:rPr>
            <w:rStyle w:val="Hyperlink"/>
            <w:rFonts w:ascii="Arial" w:hAnsi="Arial" w:cs="Arial"/>
            <w:b/>
          </w:rPr>
          <w:t>http://www.nipcm.scot.nhs.uk/</w:t>
        </w:r>
      </w:hyperlink>
      <w:r w:rsidRPr="00273E61">
        <w:rPr>
          <w:rFonts w:ascii="Arial" w:hAnsi="Arial" w:cs="Arial"/>
        </w:rPr>
        <w:t xml:space="preserve"> </w:t>
      </w:r>
    </w:p>
    <w:p w:rsidR="00DC601A" w:rsidRDefault="00DC601A" w:rsidP="00DC601A">
      <w:pPr>
        <w:spacing w:after="120"/>
        <w:jc w:val="center"/>
        <w:rPr>
          <w:rFonts w:ascii="Arial" w:hAnsi="Arial" w:cs="Arial"/>
        </w:rPr>
      </w:pPr>
    </w:p>
    <w:p w:rsidR="005E4BF1" w:rsidRDefault="00CC29C8"/>
    <w:sectPr w:rsidR="005E4BF1" w:rsidSect="00CC29C8">
      <w:headerReference w:type="default" r:id="rId13"/>
      <w:footerReference w:type="default" r:id="rId14"/>
      <w:pgSz w:w="11906" w:h="16838" w:code="9"/>
      <w:pgMar w:top="1440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C8" w:rsidRDefault="00CC29C8" w:rsidP="00CC29C8">
      <w:pPr>
        <w:spacing w:after="0" w:line="240" w:lineRule="auto"/>
      </w:pPr>
      <w:r>
        <w:separator/>
      </w:r>
    </w:p>
  </w:endnote>
  <w:endnote w:type="continuationSeparator" w:id="0">
    <w:p w:rsidR="00CC29C8" w:rsidRDefault="00CC29C8" w:rsidP="00CC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C8" w:rsidRDefault="00CC29C8" w:rsidP="00CC29C8">
    <w:pPr>
      <w:pStyle w:val="Footer"/>
      <w:pBdr>
        <w:top w:val="single" w:sz="2" w:space="1" w:color="auto"/>
      </w:pBdr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  <w:t>V1.0: October 2018</w:t>
    </w:r>
  </w:p>
  <w:p w:rsidR="00CC29C8" w:rsidRDefault="00CC29C8" w:rsidP="00CC29C8">
    <w:pPr>
      <w:pStyle w:val="Footer"/>
      <w:pBdr>
        <w:top w:val="single" w:sz="2" w:space="1" w:color="auto"/>
      </w:pBdr>
      <w:ind w:right="-46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Pr="009210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CC29C8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C8" w:rsidRDefault="00CC29C8" w:rsidP="00CC29C8">
      <w:pPr>
        <w:spacing w:after="0" w:line="240" w:lineRule="auto"/>
      </w:pPr>
      <w:r>
        <w:separator/>
      </w:r>
    </w:p>
  </w:footnote>
  <w:footnote w:type="continuationSeparator" w:id="0">
    <w:p w:rsidR="00CC29C8" w:rsidRDefault="00CC29C8" w:rsidP="00CC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F5" w:rsidRPr="001A14A0" w:rsidRDefault="00CC29C8" w:rsidP="008371F7">
    <w:pPr>
      <w:pStyle w:val="Header"/>
      <w:pBdr>
        <w:bottom w:val="single" w:sz="2" w:space="1" w:color="auto"/>
      </w:pBdr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-236220</wp:posOffset>
          </wp:positionV>
          <wp:extent cx="466725" cy="495300"/>
          <wp:effectExtent l="19050" t="0" r="9525" b="0"/>
          <wp:wrapSquare wrapText="bothSides"/>
          <wp:docPr id="108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-236220</wp:posOffset>
          </wp:positionV>
          <wp:extent cx="1152525" cy="466725"/>
          <wp:effectExtent l="19050" t="0" r="9525" b="0"/>
          <wp:wrapSquare wrapText="bothSides"/>
          <wp:docPr id="109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A14A0">
      <w:rPr>
        <w:rFonts w:ascii="Arial" w:hAnsi="Arial" w:cs="Arial"/>
        <w:sz w:val="20"/>
        <w:szCs w:val="20"/>
      </w:rPr>
      <w:t>Norovirus</w:t>
    </w:r>
    <w:proofErr w:type="spellEnd"/>
    <w:r w:rsidRPr="001A14A0">
      <w:rPr>
        <w:rFonts w:ascii="Arial" w:hAnsi="Arial" w:cs="Arial"/>
        <w:sz w:val="20"/>
        <w:szCs w:val="20"/>
      </w:rPr>
      <w:t xml:space="preserve"> – Guidance for Care Homes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7B8"/>
    <w:multiLevelType w:val="hybridMultilevel"/>
    <w:tmpl w:val="E1DC5EA8"/>
    <w:lvl w:ilvl="0" w:tplc="EC10E26E">
      <w:start w:val="1"/>
      <w:numFmt w:val="decimal"/>
      <w:pStyle w:val="Heading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C601A"/>
    <w:rsid w:val="000D19E6"/>
    <w:rsid w:val="00A368ED"/>
    <w:rsid w:val="00B02F2C"/>
    <w:rsid w:val="00CC29C8"/>
    <w:rsid w:val="00DC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1A"/>
  </w:style>
  <w:style w:type="paragraph" w:styleId="Heading1">
    <w:name w:val="heading 1"/>
    <w:basedOn w:val="Normal"/>
    <w:next w:val="Normal"/>
    <w:link w:val="Heading1Char"/>
    <w:uiPriority w:val="9"/>
    <w:qFormat/>
    <w:rsid w:val="00DC601A"/>
    <w:pPr>
      <w:keepNext/>
      <w:keepLines/>
      <w:numPr>
        <w:numId w:val="1"/>
      </w:numPr>
      <w:spacing w:before="360"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01A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C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1A"/>
  </w:style>
  <w:style w:type="character" w:styleId="Hyperlink">
    <w:name w:val="Hyperlink"/>
    <w:basedOn w:val="DefaultParagraphFont"/>
    <w:uiPriority w:val="99"/>
    <w:unhideWhenUsed/>
    <w:rsid w:val="00DC60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C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cm.hps.scot.nhs.uk/appendices/appendix-7-best-practice-decontamination-of-reusable-non-invasive-care-equipmen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ps.scot.nhs.uk/haiic/ic/resourcedetail.aspx?id=945" TargetMode="External"/><Relationship Id="rId12" Type="http://schemas.openxmlformats.org/officeDocument/2006/relationships/hyperlink" Target="http://www.nipcm.scot.nhs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pcm.hps.scot.nhs.uk/media/1412/nipcm-appendix9-2018071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pcm.hps.scot.nhs.uk/appendices/appendix-8-best-practice-management-of-linen-at-care-le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pcm.hps.scot.nhs.uk/appendices/appendix-9-best-practice-management-of-blood-and-body-fluid-spillag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4302</Characters>
  <Application>Microsoft Office Word</Application>
  <DocSecurity>0</DocSecurity>
  <Lines>430</Lines>
  <Paragraphs>88</Paragraphs>
  <ScaleCrop>false</ScaleCrop>
  <Company>NHS NSS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carolc06</cp:lastModifiedBy>
  <cp:revision>2</cp:revision>
  <dcterms:created xsi:type="dcterms:W3CDTF">2018-11-05T11:08:00Z</dcterms:created>
  <dcterms:modified xsi:type="dcterms:W3CDTF">2018-11-05T11:20:00Z</dcterms:modified>
</cp:coreProperties>
</file>