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FA" w:rsidRDefault="001A03F4" w:rsidP="00DB104C">
      <w:pPr>
        <w:ind w:left="-284"/>
        <w:rPr>
          <w:rStyle w:val="Strong"/>
          <w:rFonts w:cs="Arial"/>
          <w:color w:val="009E75"/>
          <w:sz w:val="22"/>
          <w:szCs w:val="22"/>
          <w:lang w:val="en"/>
        </w:rPr>
      </w:pPr>
      <w:r>
        <w:rPr>
          <w:rStyle w:val="Strong"/>
          <w:rFonts w:cs="Arial"/>
          <w:color w:val="009E75"/>
          <w:sz w:val="22"/>
          <w:szCs w:val="22"/>
          <w:lang w:val="en"/>
        </w:rPr>
        <w:t>Prescribed Information</w:t>
      </w:r>
    </w:p>
    <w:p w:rsidR="001A03F4" w:rsidRDefault="001A03F4" w:rsidP="00DB104C">
      <w:pPr>
        <w:ind w:left="-284"/>
        <w:rPr>
          <w:sz w:val="20"/>
        </w:rPr>
      </w:pPr>
      <w:r w:rsidRPr="000A165E">
        <w:rPr>
          <w:sz w:val="20"/>
        </w:rPr>
        <w:t xml:space="preserve">When making a referral to Disclosure Scotland organisations are required to </w:t>
      </w:r>
      <w:r w:rsidR="000A165E" w:rsidRPr="000A165E">
        <w:rPr>
          <w:sz w:val="20"/>
        </w:rPr>
        <w:t xml:space="preserve"> supply all the relevant information that they hold.  We provide a standard referral form which can be found at our website </w:t>
      </w:r>
      <w:hyperlink r:id="rId9" w:history="1">
        <w:r w:rsidR="004F5D40">
          <w:rPr>
            <w:sz w:val="20"/>
          </w:rPr>
          <w:t>www.disclosurescotland.co.uk</w:t>
        </w:r>
      </w:hyperlink>
      <w:r w:rsidR="000A165E" w:rsidRPr="000A165E">
        <w:rPr>
          <w:sz w:val="20"/>
        </w:rPr>
        <w:t xml:space="preserve">. This form provides clear examples of the types of information that are required.  It is not mandatory that organisations use this form but it will make the referral process easier for both the organisation and Disclosure Scotland. </w:t>
      </w:r>
    </w:p>
    <w:p w:rsidR="0018024E" w:rsidRDefault="0018024E" w:rsidP="00DB104C">
      <w:pPr>
        <w:ind w:left="-284"/>
        <w:rPr>
          <w:sz w:val="20"/>
        </w:rPr>
      </w:pPr>
    </w:p>
    <w:p w:rsidR="0018024E" w:rsidRDefault="0018024E" w:rsidP="00DB104C">
      <w:pPr>
        <w:ind w:left="-284"/>
        <w:rPr>
          <w:sz w:val="20"/>
        </w:rPr>
      </w:pPr>
      <w:r>
        <w:rPr>
          <w:sz w:val="20"/>
        </w:rPr>
        <w:t>Prescribed information is defined by the PVG Act and associated legislation. It can be but is not limited to the following:</w:t>
      </w:r>
    </w:p>
    <w:p w:rsidR="00EE4715" w:rsidRPr="0018024E" w:rsidRDefault="000B477F" w:rsidP="0018024E">
      <w:pPr>
        <w:numPr>
          <w:ilvl w:val="0"/>
          <w:numId w:val="18"/>
        </w:numPr>
        <w:tabs>
          <w:tab w:val="left" w:pos="720"/>
        </w:tabs>
        <w:rPr>
          <w:sz w:val="20"/>
        </w:rPr>
      </w:pPr>
      <w:r>
        <w:rPr>
          <w:sz w:val="20"/>
          <w:lang w:val="en-US"/>
        </w:rPr>
        <w:t>Details of any investigation</w:t>
      </w:r>
      <w:r w:rsidR="0018024E">
        <w:rPr>
          <w:sz w:val="20"/>
          <w:lang w:val="en-US"/>
        </w:rPr>
        <w:t xml:space="preserve"> carried out</w:t>
      </w:r>
      <w:r>
        <w:rPr>
          <w:sz w:val="20"/>
          <w:lang w:val="en-US"/>
        </w:rPr>
        <w:t xml:space="preserve"> and the conclusions of that investigation</w:t>
      </w:r>
    </w:p>
    <w:p w:rsidR="00EE4715" w:rsidRPr="0018024E" w:rsidRDefault="00AA68D5" w:rsidP="0018024E">
      <w:pPr>
        <w:numPr>
          <w:ilvl w:val="0"/>
          <w:numId w:val="18"/>
        </w:numPr>
        <w:tabs>
          <w:tab w:val="left" w:pos="720"/>
        </w:tabs>
        <w:rPr>
          <w:sz w:val="20"/>
        </w:rPr>
      </w:pPr>
      <w:r w:rsidRPr="0018024E">
        <w:rPr>
          <w:sz w:val="20"/>
          <w:lang w:val="en-US"/>
        </w:rPr>
        <w:t>Correspondence to/from the individual</w:t>
      </w:r>
    </w:p>
    <w:p w:rsidR="00EE4715" w:rsidRPr="0018024E" w:rsidRDefault="00AA68D5" w:rsidP="0018024E">
      <w:pPr>
        <w:numPr>
          <w:ilvl w:val="0"/>
          <w:numId w:val="18"/>
        </w:numPr>
        <w:tabs>
          <w:tab w:val="left" w:pos="720"/>
        </w:tabs>
        <w:rPr>
          <w:sz w:val="20"/>
        </w:rPr>
      </w:pPr>
      <w:r w:rsidRPr="0018024E">
        <w:rPr>
          <w:sz w:val="20"/>
          <w:lang w:val="en-US"/>
        </w:rPr>
        <w:t>Witness statements</w:t>
      </w:r>
    </w:p>
    <w:p w:rsidR="00EE4715" w:rsidRPr="0018024E" w:rsidRDefault="00AA68D5" w:rsidP="0018024E">
      <w:pPr>
        <w:numPr>
          <w:ilvl w:val="0"/>
          <w:numId w:val="18"/>
        </w:numPr>
        <w:tabs>
          <w:tab w:val="left" w:pos="720"/>
        </w:tabs>
        <w:rPr>
          <w:sz w:val="20"/>
        </w:rPr>
      </w:pPr>
      <w:r w:rsidRPr="0018024E">
        <w:rPr>
          <w:sz w:val="20"/>
          <w:lang w:val="en-US"/>
        </w:rPr>
        <w:t>Care plans</w:t>
      </w:r>
    </w:p>
    <w:p w:rsidR="00EE4715" w:rsidRPr="0018024E" w:rsidRDefault="00AA68D5" w:rsidP="0018024E">
      <w:pPr>
        <w:numPr>
          <w:ilvl w:val="0"/>
          <w:numId w:val="18"/>
        </w:numPr>
        <w:tabs>
          <w:tab w:val="left" w:pos="720"/>
        </w:tabs>
        <w:rPr>
          <w:sz w:val="20"/>
        </w:rPr>
      </w:pPr>
      <w:r w:rsidRPr="0018024E">
        <w:rPr>
          <w:sz w:val="20"/>
          <w:lang w:val="en-US"/>
        </w:rPr>
        <w:t>Investigatory reports</w:t>
      </w:r>
    </w:p>
    <w:p w:rsidR="00EE4715" w:rsidRPr="000B477F" w:rsidRDefault="00AA68D5" w:rsidP="0018024E">
      <w:pPr>
        <w:numPr>
          <w:ilvl w:val="0"/>
          <w:numId w:val="18"/>
        </w:numPr>
        <w:tabs>
          <w:tab w:val="left" w:pos="720"/>
        </w:tabs>
        <w:rPr>
          <w:sz w:val="20"/>
        </w:rPr>
      </w:pPr>
      <w:r w:rsidRPr="0018024E">
        <w:rPr>
          <w:sz w:val="20"/>
          <w:lang w:val="en-US"/>
        </w:rPr>
        <w:t>Records of disciplinary hearings</w:t>
      </w:r>
    </w:p>
    <w:p w:rsidR="000B477F" w:rsidRPr="000B477F" w:rsidRDefault="000B477F" w:rsidP="0018024E">
      <w:pPr>
        <w:numPr>
          <w:ilvl w:val="0"/>
          <w:numId w:val="18"/>
        </w:numPr>
        <w:tabs>
          <w:tab w:val="left" w:pos="720"/>
        </w:tabs>
        <w:rPr>
          <w:sz w:val="20"/>
        </w:rPr>
      </w:pPr>
      <w:r>
        <w:rPr>
          <w:sz w:val="20"/>
          <w:lang w:val="en-US"/>
        </w:rPr>
        <w:t>Details of any actions taken or decisions made</w:t>
      </w:r>
    </w:p>
    <w:p w:rsidR="000B477F" w:rsidRPr="0018024E" w:rsidRDefault="000B477F" w:rsidP="0018024E">
      <w:pPr>
        <w:numPr>
          <w:ilvl w:val="0"/>
          <w:numId w:val="18"/>
        </w:numPr>
        <w:tabs>
          <w:tab w:val="left" w:pos="720"/>
        </w:tabs>
        <w:rPr>
          <w:sz w:val="20"/>
        </w:rPr>
      </w:pPr>
      <w:r>
        <w:rPr>
          <w:sz w:val="20"/>
          <w:lang w:val="en-US"/>
        </w:rPr>
        <w:t>Details of any relevant disciplinary policies or practices or conditions of employment</w:t>
      </w:r>
    </w:p>
    <w:p w:rsidR="0018024E" w:rsidRPr="0018024E" w:rsidRDefault="0018024E" w:rsidP="0018024E">
      <w:pPr>
        <w:numPr>
          <w:ilvl w:val="0"/>
          <w:numId w:val="18"/>
        </w:numPr>
        <w:tabs>
          <w:tab w:val="left" w:pos="720"/>
        </w:tabs>
        <w:rPr>
          <w:sz w:val="20"/>
        </w:rPr>
      </w:pPr>
      <w:r>
        <w:rPr>
          <w:sz w:val="20"/>
          <w:lang w:val="en-US"/>
        </w:rPr>
        <w:t>Details of any regulated work codes of conduct or practice etc</w:t>
      </w:r>
    </w:p>
    <w:p w:rsidR="0018024E" w:rsidRDefault="0018024E" w:rsidP="0018024E">
      <w:pPr>
        <w:numPr>
          <w:ilvl w:val="0"/>
          <w:numId w:val="18"/>
        </w:numPr>
        <w:tabs>
          <w:tab w:val="left" w:pos="720"/>
        </w:tabs>
        <w:rPr>
          <w:sz w:val="20"/>
        </w:rPr>
      </w:pPr>
      <w:r>
        <w:rPr>
          <w:sz w:val="20"/>
        </w:rPr>
        <w:t>Details of any involvement by other organisations or agencies (including regulators and law enforcement agencies</w:t>
      </w:r>
    </w:p>
    <w:p w:rsidR="0018024E" w:rsidRDefault="000B477F" w:rsidP="0018024E">
      <w:pPr>
        <w:numPr>
          <w:ilvl w:val="0"/>
          <w:numId w:val="18"/>
        </w:numPr>
        <w:tabs>
          <w:tab w:val="left" w:pos="720"/>
        </w:tabs>
        <w:rPr>
          <w:sz w:val="20"/>
        </w:rPr>
      </w:pPr>
      <w:r>
        <w:rPr>
          <w:sz w:val="20"/>
        </w:rPr>
        <w:t>Details</w:t>
      </w:r>
      <w:r w:rsidR="0018024E">
        <w:rPr>
          <w:sz w:val="20"/>
        </w:rPr>
        <w:t xml:space="preserve"> of any associated disciplinary appeal proceedings</w:t>
      </w:r>
    </w:p>
    <w:p w:rsidR="000B477F" w:rsidRDefault="000B477F" w:rsidP="000B477F">
      <w:pPr>
        <w:rPr>
          <w:sz w:val="20"/>
        </w:rPr>
      </w:pPr>
    </w:p>
    <w:p w:rsidR="000B477F" w:rsidRDefault="000B477F" w:rsidP="000B477F">
      <w:pPr>
        <w:ind w:left="-284"/>
        <w:rPr>
          <w:rStyle w:val="Strong"/>
          <w:rFonts w:cs="Arial"/>
          <w:color w:val="009E75"/>
          <w:sz w:val="22"/>
          <w:szCs w:val="22"/>
          <w:lang w:val="en"/>
        </w:rPr>
      </w:pPr>
    </w:p>
    <w:p w:rsidR="000B477F" w:rsidRDefault="000B477F" w:rsidP="000B477F">
      <w:pPr>
        <w:ind w:left="-284"/>
        <w:rPr>
          <w:rStyle w:val="Strong"/>
          <w:rFonts w:cs="Arial"/>
          <w:color w:val="009E75"/>
          <w:sz w:val="22"/>
          <w:szCs w:val="22"/>
          <w:lang w:val="en"/>
        </w:rPr>
      </w:pPr>
    </w:p>
    <w:p w:rsidR="000B477F" w:rsidRDefault="000B477F" w:rsidP="000B477F">
      <w:pPr>
        <w:ind w:left="-284"/>
        <w:rPr>
          <w:rStyle w:val="Strong"/>
          <w:rFonts w:cs="Arial"/>
          <w:color w:val="009E75"/>
          <w:sz w:val="22"/>
          <w:szCs w:val="22"/>
          <w:lang w:val="en"/>
        </w:rPr>
      </w:pPr>
    </w:p>
    <w:p w:rsidR="000B477F" w:rsidRDefault="000B477F" w:rsidP="000B477F">
      <w:pPr>
        <w:ind w:left="-284"/>
        <w:rPr>
          <w:b/>
          <w:color w:val="0F243E" w:themeColor="text2" w:themeShade="80"/>
          <w:sz w:val="20"/>
        </w:rPr>
      </w:pPr>
      <w:r>
        <w:rPr>
          <w:rStyle w:val="Strong"/>
          <w:rFonts w:cs="Arial"/>
          <w:color w:val="009E75"/>
          <w:sz w:val="22"/>
          <w:szCs w:val="22"/>
          <w:lang w:val="en"/>
        </w:rPr>
        <w:t>Further information</w:t>
      </w:r>
    </w:p>
    <w:p w:rsidR="000B477F" w:rsidRDefault="000B477F" w:rsidP="000B477F">
      <w:pPr>
        <w:ind w:left="-284"/>
        <w:rPr>
          <w:sz w:val="20"/>
        </w:rPr>
      </w:pPr>
      <w:r>
        <w:rPr>
          <w:sz w:val="20"/>
        </w:rPr>
        <w:t xml:space="preserve">If you need any further information on </w:t>
      </w:r>
      <w:r w:rsidR="00A12552">
        <w:rPr>
          <w:sz w:val="20"/>
        </w:rPr>
        <w:t xml:space="preserve">making a referral, </w:t>
      </w:r>
      <w:r>
        <w:rPr>
          <w:sz w:val="20"/>
        </w:rPr>
        <w:t xml:space="preserve">please contact Disclosure Scotland’s helpdesk on </w:t>
      </w:r>
      <w:r w:rsidR="00AD7A61">
        <w:rPr>
          <w:rStyle w:val="Strong"/>
        </w:rPr>
        <w:t xml:space="preserve">0300 0200 040 </w:t>
      </w:r>
      <w:r>
        <w:rPr>
          <w:sz w:val="20"/>
        </w:rPr>
        <w:t xml:space="preserve">or </w:t>
      </w:r>
      <w:r>
        <w:rPr>
          <w:b/>
          <w:sz w:val="20"/>
        </w:rPr>
        <w:t>info@disclosurescotland.gsi.gov.uk</w:t>
      </w:r>
    </w:p>
    <w:p w:rsidR="000B477F" w:rsidRPr="0018024E" w:rsidRDefault="000B477F" w:rsidP="000B477F">
      <w:pPr>
        <w:rPr>
          <w:sz w:val="20"/>
        </w:rPr>
      </w:pPr>
    </w:p>
    <w:p w:rsidR="0069005F" w:rsidRDefault="0069005F" w:rsidP="00DB104C">
      <w:pPr>
        <w:ind w:left="-284"/>
        <w:rPr>
          <w:sz w:val="20"/>
        </w:rPr>
      </w:pPr>
    </w:p>
    <w:p w:rsidR="00601CFA" w:rsidRDefault="00601CFA" w:rsidP="00601CFA">
      <w:pPr>
        <w:jc w:val="right"/>
        <w:rPr>
          <w:sz w:val="20"/>
          <w:u w:val="single"/>
        </w:rPr>
      </w:pPr>
    </w:p>
    <w:p w:rsidR="001A03F4" w:rsidRDefault="001A03F4" w:rsidP="00601CFA">
      <w:pPr>
        <w:jc w:val="right"/>
        <w:rPr>
          <w:sz w:val="20"/>
          <w:u w:val="single"/>
        </w:rPr>
      </w:pPr>
    </w:p>
    <w:p w:rsidR="001A03F4" w:rsidRDefault="001A03F4" w:rsidP="00601CFA">
      <w:pPr>
        <w:jc w:val="right"/>
        <w:rPr>
          <w:sz w:val="20"/>
          <w:u w:val="single"/>
        </w:rPr>
      </w:pPr>
    </w:p>
    <w:p w:rsidR="001A03F4" w:rsidRDefault="001A03F4" w:rsidP="00601CFA">
      <w:pPr>
        <w:jc w:val="right"/>
        <w:rPr>
          <w:sz w:val="20"/>
          <w:u w:val="single"/>
        </w:rPr>
      </w:pPr>
    </w:p>
    <w:p w:rsidR="001A03F4" w:rsidRDefault="001A03F4" w:rsidP="00601CFA">
      <w:pPr>
        <w:jc w:val="right"/>
        <w:rPr>
          <w:sz w:val="20"/>
          <w:u w:val="single"/>
        </w:rPr>
      </w:pPr>
    </w:p>
    <w:p w:rsidR="001A03F4" w:rsidRDefault="001A03F4" w:rsidP="00601CFA">
      <w:pPr>
        <w:jc w:val="right"/>
        <w:rPr>
          <w:sz w:val="20"/>
          <w:u w:val="single"/>
        </w:rPr>
      </w:pPr>
    </w:p>
    <w:p w:rsidR="001A03F4" w:rsidRDefault="001A03F4" w:rsidP="00601CFA">
      <w:pPr>
        <w:jc w:val="right"/>
      </w:pPr>
    </w:p>
    <w:p w:rsidR="00601CFA" w:rsidRDefault="00601CFA" w:rsidP="00E36759">
      <w:r>
        <w:rPr>
          <w:noProof/>
          <w:lang w:eastAsia="en-GB"/>
        </w:rPr>
        <w:lastRenderedPageBreak/>
        <w:drawing>
          <wp:inline distT="0" distB="0" distL="0" distR="0" wp14:anchorId="30D74519" wp14:editId="4D828D00">
            <wp:extent cx="4225938" cy="1524000"/>
            <wp:effectExtent l="0" t="0" r="3175" b="0"/>
            <wp:docPr id="1" name="Picture 1" descr="C:\Users\n310390\AppData\Local\Microsoft\Windows\Temporary Internet Files\Content.Outlook\2NE7HM2Q\logo2-disclosure-scotla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310390\AppData\Local\Microsoft\Windows\Temporary Internet Files\Content.Outlook\2NE7HM2Q\logo2-disclosure-scotland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702" cy="1528243"/>
                    </a:xfrm>
                    <a:prstGeom prst="rect">
                      <a:avLst/>
                    </a:prstGeom>
                    <a:noFill/>
                    <a:ln>
                      <a:noFill/>
                    </a:ln>
                  </pic:spPr>
                </pic:pic>
              </a:graphicData>
            </a:graphic>
          </wp:inline>
        </w:drawing>
      </w:r>
    </w:p>
    <w:p w:rsidR="00601CFA" w:rsidRDefault="00601CFA" w:rsidP="00E36759"/>
    <w:p w:rsidR="00601CFA" w:rsidRDefault="00601CFA" w:rsidP="00E36759"/>
    <w:p w:rsidR="00601CFA" w:rsidRDefault="00601CFA" w:rsidP="00E36759">
      <w:pPr>
        <w:rPr>
          <w:b/>
          <w:sz w:val="36"/>
          <w:szCs w:val="36"/>
        </w:rPr>
      </w:pPr>
    </w:p>
    <w:p w:rsidR="00601CFA" w:rsidRDefault="00601CFA" w:rsidP="00E36759">
      <w:pPr>
        <w:rPr>
          <w:b/>
          <w:sz w:val="36"/>
          <w:szCs w:val="36"/>
        </w:rPr>
      </w:pPr>
    </w:p>
    <w:p w:rsidR="00601CFA" w:rsidRDefault="00601CFA" w:rsidP="00E36759">
      <w:pPr>
        <w:rPr>
          <w:b/>
          <w:sz w:val="36"/>
          <w:szCs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5816"/>
      </w:tblGrid>
      <w:tr w:rsidR="00402BE9" w:rsidTr="002B4F7B">
        <w:trPr>
          <w:trHeight w:val="2169"/>
        </w:trPr>
        <w:tc>
          <w:tcPr>
            <w:tcW w:w="5816" w:type="dxa"/>
            <w:shd w:val="clear" w:color="auto" w:fill="D37EEA"/>
          </w:tcPr>
          <w:p w:rsidR="00402BE9" w:rsidRDefault="00402BE9" w:rsidP="00402BE9">
            <w:pPr>
              <w:rPr>
                <w:b/>
                <w:sz w:val="36"/>
                <w:szCs w:val="36"/>
              </w:rPr>
            </w:pPr>
          </w:p>
          <w:p w:rsidR="00402BE9" w:rsidRPr="000428EE" w:rsidRDefault="00945C19" w:rsidP="001D3D77">
            <w:pPr>
              <w:jc w:val="center"/>
              <w:rPr>
                <w:b/>
                <w:sz w:val="44"/>
                <w:szCs w:val="44"/>
              </w:rPr>
            </w:pPr>
            <w:bookmarkStart w:id="0" w:name="_GoBack"/>
            <w:r w:rsidRPr="000428EE">
              <w:rPr>
                <w:rFonts w:cs="Arial"/>
                <w:b/>
                <w:color w:val="002060"/>
                <w:sz w:val="44"/>
                <w:szCs w:val="44"/>
              </w:rPr>
              <w:t>GUIDANCE ON PVG AND THE DUTY TO REFER</w:t>
            </w:r>
            <w:bookmarkEnd w:id="0"/>
          </w:p>
        </w:tc>
      </w:tr>
    </w:tbl>
    <w:p w:rsidR="00601CFA" w:rsidRDefault="00601CFA" w:rsidP="00601CFA">
      <w:pPr>
        <w:jc w:val="left"/>
        <w:rPr>
          <w:rFonts w:cs="Arial"/>
          <w:b/>
          <w:szCs w:val="24"/>
        </w:rPr>
      </w:pPr>
    </w:p>
    <w:p w:rsidR="00601CFA" w:rsidRDefault="00601CFA" w:rsidP="00601CFA">
      <w:pPr>
        <w:jc w:val="left"/>
        <w:rPr>
          <w:rFonts w:cs="Arial"/>
          <w:b/>
          <w:szCs w:val="24"/>
        </w:rPr>
      </w:pPr>
    </w:p>
    <w:p w:rsidR="00601CFA" w:rsidRDefault="00601CFA" w:rsidP="00601CFA">
      <w:pPr>
        <w:jc w:val="left"/>
        <w:rPr>
          <w:rFonts w:cs="Arial"/>
          <w:b/>
          <w:szCs w:val="24"/>
        </w:rPr>
      </w:pPr>
    </w:p>
    <w:p w:rsidR="00601CFA" w:rsidRDefault="00601CFA" w:rsidP="00601CFA">
      <w:pPr>
        <w:jc w:val="left"/>
        <w:rPr>
          <w:rFonts w:cs="Arial"/>
          <w:b/>
          <w:szCs w:val="24"/>
        </w:rPr>
      </w:pPr>
    </w:p>
    <w:p w:rsidR="00B753E6" w:rsidRDefault="00B753E6" w:rsidP="00601CFA">
      <w:pPr>
        <w:jc w:val="left"/>
        <w:rPr>
          <w:rFonts w:cs="Arial"/>
          <w:b/>
          <w:szCs w:val="24"/>
        </w:rPr>
      </w:pPr>
    </w:p>
    <w:p w:rsidR="00B753E6" w:rsidRDefault="00B753E6" w:rsidP="00601CFA">
      <w:pPr>
        <w:jc w:val="left"/>
        <w:rPr>
          <w:rFonts w:cs="Arial"/>
          <w:b/>
          <w:szCs w:val="24"/>
        </w:rPr>
      </w:pPr>
    </w:p>
    <w:p w:rsidR="003E31DE" w:rsidRDefault="003E31DE" w:rsidP="00601CFA">
      <w:pPr>
        <w:jc w:val="left"/>
        <w:rPr>
          <w:rFonts w:cs="Arial"/>
          <w:b/>
          <w:szCs w:val="24"/>
        </w:rPr>
      </w:pPr>
    </w:p>
    <w:p w:rsidR="003E31DE" w:rsidRDefault="003E31DE" w:rsidP="00601CFA">
      <w:pPr>
        <w:jc w:val="left"/>
        <w:rPr>
          <w:rFonts w:cs="Arial"/>
          <w:b/>
          <w:szCs w:val="24"/>
        </w:rPr>
      </w:pPr>
    </w:p>
    <w:p w:rsidR="003E31DE" w:rsidRDefault="003E31DE" w:rsidP="00601CFA">
      <w:pPr>
        <w:jc w:val="left"/>
        <w:rPr>
          <w:rFonts w:cs="Arial"/>
          <w:b/>
          <w:szCs w:val="24"/>
        </w:rPr>
      </w:pPr>
    </w:p>
    <w:p w:rsidR="003E31DE" w:rsidRDefault="003E31DE" w:rsidP="00601CFA">
      <w:pPr>
        <w:jc w:val="left"/>
        <w:rPr>
          <w:rFonts w:cs="Arial"/>
          <w:b/>
          <w:szCs w:val="24"/>
        </w:rPr>
      </w:pPr>
    </w:p>
    <w:p w:rsidR="004D7AD2" w:rsidRDefault="004D7AD2" w:rsidP="00601CFA">
      <w:pPr>
        <w:jc w:val="left"/>
        <w:rPr>
          <w:rFonts w:cs="Arial"/>
          <w:b/>
          <w:szCs w:val="24"/>
        </w:rPr>
      </w:pPr>
    </w:p>
    <w:p w:rsidR="00EC3059" w:rsidRDefault="00EC3059" w:rsidP="00A4121E">
      <w:pPr>
        <w:ind w:left="-284"/>
        <w:rPr>
          <w:rStyle w:val="Strong"/>
          <w:rFonts w:cs="Arial"/>
          <w:color w:val="009E75"/>
          <w:sz w:val="22"/>
          <w:szCs w:val="22"/>
          <w:lang w:val="en"/>
        </w:rPr>
      </w:pPr>
    </w:p>
    <w:p w:rsidR="001A03F4" w:rsidRDefault="001A03F4" w:rsidP="00A4121E">
      <w:pPr>
        <w:ind w:left="-284"/>
        <w:rPr>
          <w:rStyle w:val="Strong"/>
          <w:rFonts w:cs="Arial"/>
          <w:color w:val="009E75"/>
          <w:sz w:val="22"/>
          <w:szCs w:val="22"/>
          <w:lang w:val="en"/>
        </w:rPr>
      </w:pPr>
    </w:p>
    <w:p w:rsidR="00A4121E" w:rsidRDefault="00A4121E" w:rsidP="00A4121E">
      <w:pPr>
        <w:ind w:left="-284"/>
        <w:rPr>
          <w:rStyle w:val="Strong"/>
          <w:rFonts w:cs="Arial"/>
          <w:color w:val="009E75"/>
          <w:sz w:val="22"/>
          <w:szCs w:val="22"/>
          <w:lang w:val="en"/>
        </w:rPr>
      </w:pPr>
      <w:r>
        <w:rPr>
          <w:rStyle w:val="Strong"/>
          <w:rFonts w:cs="Arial"/>
          <w:color w:val="009E75"/>
          <w:sz w:val="22"/>
          <w:szCs w:val="22"/>
          <w:lang w:val="en"/>
        </w:rPr>
        <w:lastRenderedPageBreak/>
        <w:t>Protection of Vulnerable Groups Act 2007</w:t>
      </w:r>
    </w:p>
    <w:p w:rsidR="00FE25D6" w:rsidRDefault="00FE25D6" w:rsidP="00FE25D6">
      <w:pPr>
        <w:ind w:left="-284"/>
        <w:rPr>
          <w:sz w:val="20"/>
        </w:rPr>
      </w:pPr>
      <w:r>
        <w:rPr>
          <w:sz w:val="20"/>
        </w:rPr>
        <w:t>The Protection of Vulnerable Groups (Scotland) Act 2007 (the Act) provides for a scheme whereby individuals with a known history of harm can be prevented from doing work with children and / or protected adults. Disclosure Scotland is responsible for the administration of this scheme on behalf of Scottish Ministers</w:t>
      </w:r>
      <w:r w:rsidR="007F62C8">
        <w:rPr>
          <w:sz w:val="20"/>
        </w:rPr>
        <w:t xml:space="preserve"> and makes decisions on whether individuals are unsuitable to undertake regulated work</w:t>
      </w:r>
      <w:r>
        <w:rPr>
          <w:sz w:val="20"/>
        </w:rPr>
        <w:t>.</w:t>
      </w:r>
      <w:r w:rsidR="007F62C8">
        <w:rPr>
          <w:sz w:val="20"/>
        </w:rPr>
        <w:t xml:space="preserve"> It is the duty of Scottish Ministers to keep and maintain lists of those barred from working with children or protected adults.</w:t>
      </w:r>
      <w:r>
        <w:rPr>
          <w:sz w:val="20"/>
        </w:rPr>
        <w:t xml:space="preserve"> </w:t>
      </w:r>
    </w:p>
    <w:p w:rsidR="00FE25D6" w:rsidRDefault="00FE25D6" w:rsidP="00FE25D6">
      <w:pPr>
        <w:ind w:left="-284"/>
        <w:rPr>
          <w:sz w:val="20"/>
        </w:rPr>
      </w:pPr>
    </w:p>
    <w:p w:rsidR="00FE25D6" w:rsidRDefault="00FE25D6" w:rsidP="00FE25D6">
      <w:pPr>
        <w:ind w:left="-284"/>
        <w:rPr>
          <w:sz w:val="20"/>
        </w:rPr>
      </w:pPr>
    </w:p>
    <w:p w:rsidR="00FE25D6" w:rsidRDefault="00FE25D6" w:rsidP="00FE25D6">
      <w:pPr>
        <w:ind w:left="-284"/>
        <w:rPr>
          <w:rStyle w:val="Strong"/>
          <w:rFonts w:cs="Arial"/>
          <w:color w:val="009E75"/>
          <w:sz w:val="22"/>
          <w:szCs w:val="22"/>
          <w:lang w:val="en"/>
        </w:rPr>
      </w:pPr>
      <w:r>
        <w:rPr>
          <w:rStyle w:val="Strong"/>
          <w:rFonts w:cs="Arial"/>
          <w:color w:val="009E75"/>
          <w:sz w:val="22"/>
          <w:szCs w:val="22"/>
          <w:lang w:val="en"/>
        </w:rPr>
        <w:t>Protection Services</w:t>
      </w:r>
    </w:p>
    <w:p w:rsidR="001334E7" w:rsidRDefault="00FE25D6" w:rsidP="001334E7">
      <w:pPr>
        <w:ind w:left="-284"/>
        <w:rPr>
          <w:sz w:val="20"/>
        </w:rPr>
      </w:pPr>
      <w:r>
        <w:rPr>
          <w:sz w:val="20"/>
        </w:rPr>
        <w:t xml:space="preserve">In Protection Services, </w:t>
      </w:r>
      <w:r w:rsidR="001334E7">
        <w:rPr>
          <w:sz w:val="20"/>
        </w:rPr>
        <w:t xml:space="preserve">we </w:t>
      </w:r>
      <w:r>
        <w:rPr>
          <w:sz w:val="20"/>
        </w:rPr>
        <w:t xml:space="preserve">act on information provided to us </w:t>
      </w:r>
      <w:r w:rsidR="001334E7">
        <w:rPr>
          <w:sz w:val="20"/>
        </w:rPr>
        <w:t>from the following sources:</w:t>
      </w:r>
    </w:p>
    <w:p w:rsidR="001334E7" w:rsidRDefault="001334E7" w:rsidP="007F62C8">
      <w:pPr>
        <w:pStyle w:val="ListParagraph"/>
        <w:numPr>
          <w:ilvl w:val="0"/>
          <w:numId w:val="19"/>
        </w:numPr>
        <w:rPr>
          <w:sz w:val="20"/>
        </w:rPr>
      </w:pPr>
      <w:r>
        <w:rPr>
          <w:sz w:val="20"/>
        </w:rPr>
        <w:t>Criminal History (v</w:t>
      </w:r>
      <w:r w:rsidR="00FE25D6" w:rsidRPr="007F62C8">
        <w:rPr>
          <w:sz w:val="20"/>
        </w:rPr>
        <w:t>etting information</w:t>
      </w:r>
      <w:r>
        <w:rPr>
          <w:sz w:val="20"/>
        </w:rPr>
        <w:t>) from police systems</w:t>
      </w:r>
      <w:r w:rsidR="00FE25D6" w:rsidRPr="007F62C8">
        <w:rPr>
          <w:sz w:val="20"/>
        </w:rPr>
        <w:t xml:space="preserve">, </w:t>
      </w:r>
    </w:p>
    <w:p w:rsidR="001334E7" w:rsidRDefault="00FE25D6" w:rsidP="007F62C8">
      <w:pPr>
        <w:pStyle w:val="ListParagraph"/>
        <w:numPr>
          <w:ilvl w:val="0"/>
          <w:numId w:val="19"/>
        </w:numPr>
        <w:rPr>
          <w:sz w:val="20"/>
        </w:rPr>
      </w:pPr>
      <w:r w:rsidRPr="007F62C8">
        <w:rPr>
          <w:sz w:val="20"/>
        </w:rPr>
        <w:t xml:space="preserve">Court referrals </w:t>
      </w:r>
    </w:p>
    <w:p w:rsidR="001334E7" w:rsidRPr="001334E7" w:rsidRDefault="001334E7" w:rsidP="007F62C8">
      <w:pPr>
        <w:pStyle w:val="ListParagraph"/>
        <w:numPr>
          <w:ilvl w:val="0"/>
          <w:numId w:val="19"/>
        </w:numPr>
        <w:rPr>
          <w:sz w:val="20"/>
        </w:rPr>
      </w:pPr>
      <w:r>
        <w:rPr>
          <w:sz w:val="20"/>
        </w:rPr>
        <w:t>R</w:t>
      </w:r>
      <w:r w:rsidR="00FE25D6" w:rsidRPr="007F62C8">
        <w:rPr>
          <w:sz w:val="20"/>
        </w:rPr>
        <w:t xml:space="preserve">eferrals made by employers, </w:t>
      </w:r>
    </w:p>
    <w:p w:rsidR="001334E7" w:rsidRDefault="001334E7" w:rsidP="007F62C8">
      <w:pPr>
        <w:pStyle w:val="ListParagraph"/>
        <w:numPr>
          <w:ilvl w:val="0"/>
          <w:numId w:val="19"/>
        </w:numPr>
        <w:rPr>
          <w:sz w:val="20"/>
        </w:rPr>
      </w:pPr>
      <w:r>
        <w:rPr>
          <w:sz w:val="20"/>
        </w:rPr>
        <w:t>R</w:t>
      </w:r>
      <w:r w:rsidRPr="00F446BA">
        <w:rPr>
          <w:sz w:val="20"/>
        </w:rPr>
        <w:t xml:space="preserve">eferrals made by </w:t>
      </w:r>
      <w:r w:rsidR="00FE25D6" w:rsidRPr="007F62C8">
        <w:rPr>
          <w:sz w:val="20"/>
        </w:rPr>
        <w:t xml:space="preserve">regulated work providers, and </w:t>
      </w:r>
    </w:p>
    <w:p w:rsidR="001334E7" w:rsidRDefault="001334E7" w:rsidP="007F62C8">
      <w:pPr>
        <w:pStyle w:val="ListParagraph"/>
        <w:numPr>
          <w:ilvl w:val="0"/>
          <w:numId w:val="19"/>
        </w:numPr>
        <w:rPr>
          <w:sz w:val="20"/>
        </w:rPr>
      </w:pPr>
      <w:r>
        <w:rPr>
          <w:sz w:val="20"/>
        </w:rPr>
        <w:t>R</w:t>
      </w:r>
      <w:r w:rsidRPr="00F446BA">
        <w:rPr>
          <w:sz w:val="20"/>
        </w:rPr>
        <w:t xml:space="preserve">eferrals made by </w:t>
      </w:r>
      <w:r w:rsidR="00FE25D6" w:rsidRPr="007F62C8">
        <w:rPr>
          <w:sz w:val="20"/>
        </w:rPr>
        <w:t xml:space="preserve">professional regulatory bodies </w:t>
      </w:r>
    </w:p>
    <w:p w:rsidR="00FD13F8" w:rsidRDefault="00FD13F8" w:rsidP="007F62C8">
      <w:pPr>
        <w:pStyle w:val="ListParagraph"/>
        <w:numPr>
          <w:ilvl w:val="0"/>
          <w:numId w:val="19"/>
        </w:numPr>
        <w:rPr>
          <w:sz w:val="20"/>
        </w:rPr>
      </w:pPr>
      <w:r>
        <w:rPr>
          <w:sz w:val="20"/>
        </w:rPr>
        <w:t xml:space="preserve">Non-conviction information disclosed by the Chief Constable </w:t>
      </w:r>
    </w:p>
    <w:p w:rsidR="001334E7" w:rsidRPr="007F62C8" w:rsidRDefault="001334E7" w:rsidP="007F62C8">
      <w:pPr>
        <w:rPr>
          <w:sz w:val="20"/>
        </w:rPr>
      </w:pPr>
    </w:p>
    <w:p w:rsidR="00FE25D6" w:rsidRPr="007F62C8" w:rsidRDefault="001334E7" w:rsidP="004D76B7">
      <w:pPr>
        <w:ind w:left="-284"/>
        <w:rPr>
          <w:sz w:val="20"/>
        </w:rPr>
      </w:pPr>
      <w:r w:rsidRPr="007F62C8">
        <w:rPr>
          <w:sz w:val="20"/>
        </w:rPr>
        <w:t>We</w:t>
      </w:r>
      <w:r>
        <w:rPr>
          <w:sz w:val="20"/>
        </w:rPr>
        <w:t xml:space="preserve"> carry out a 2 stage process; first we</w:t>
      </w:r>
      <w:r w:rsidRPr="007F62C8">
        <w:rPr>
          <w:sz w:val="20"/>
        </w:rPr>
        <w:t xml:space="preserve"> </w:t>
      </w:r>
      <w:r w:rsidR="00FE25D6" w:rsidRPr="007F62C8">
        <w:rPr>
          <w:sz w:val="20"/>
        </w:rPr>
        <w:t xml:space="preserve">initially identify those whose past conduct suggests that they </w:t>
      </w:r>
      <w:r w:rsidR="00FE25D6" w:rsidRPr="007F62C8">
        <w:rPr>
          <w:sz w:val="20"/>
          <w:u w:val="single"/>
        </w:rPr>
        <w:t>may</w:t>
      </w:r>
      <w:r w:rsidR="00FE25D6" w:rsidRPr="007F62C8">
        <w:rPr>
          <w:sz w:val="20"/>
        </w:rPr>
        <w:t xml:space="preserve"> be unsuitable to undertake regulated work. We </w:t>
      </w:r>
      <w:r>
        <w:rPr>
          <w:sz w:val="20"/>
        </w:rPr>
        <w:t>make this decision</w:t>
      </w:r>
      <w:r w:rsidR="00FE25D6" w:rsidRPr="007F62C8">
        <w:rPr>
          <w:sz w:val="20"/>
        </w:rPr>
        <w:t xml:space="preserve"> using a defensible and structured evaluative approach. This</w:t>
      </w:r>
      <w:r w:rsidR="00D94C85">
        <w:rPr>
          <w:sz w:val="20"/>
        </w:rPr>
        <w:t xml:space="preserve"> process</w:t>
      </w:r>
      <w:r w:rsidR="00FE25D6" w:rsidRPr="007F62C8">
        <w:rPr>
          <w:sz w:val="20"/>
        </w:rPr>
        <w:t xml:space="preserve"> identifies those individuals who require formal consideration for listing</w:t>
      </w:r>
      <w:r w:rsidR="00D94C85">
        <w:rPr>
          <w:sz w:val="20"/>
        </w:rPr>
        <w:t>, a status that provides Disclosure Scotland with extensive powers to retrieve information.</w:t>
      </w:r>
      <w:r w:rsidR="00FE25D6" w:rsidRPr="007F62C8">
        <w:rPr>
          <w:sz w:val="20"/>
        </w:rPr>
        <w:t xml:space="preserve"> We seek </w:t>
      </w:r>
      <w:r w:rsidR="00D94C85">
        <w:rPr>
          <w:sz w:val="20"/>
        </w:rPr>
        <w:t xml:space="preserve">this </w:t>
      </w:r>
      <w:r w:rsidR="00FE25D6" w:rsidRPr="007F62C8">
        <w:rPr>
          <w:sz w:val="20"/>
        </w:rPr>
        <w:t xml:space="preserve">further information about the individual and </w:t>
      </w:r>
      <w:r w:rsidR="00D94C85">
        <w:rPr>
          <w:sz w:val="20"/>
        </w:rPr>
        <w:t xml:space="preserve">their </w:t>
      </w:r>
      <w:r w:rsidR="00FE25D6" w:rsidRPr="007F62C8">
        <w:rPr>
          <w:sz w:val="20"/>
        </w:rPr>
        <w:t>conduct and, again using a defensible structured decision approach, decide whether the individual is unsuitable for regulated work.</w:t>
      </w:r>
      <w:r w:rsidR="00D94C85">
        <w:rPr>
          <w:sz w:val="20"/>
        </w:rPr>
        <w:t xml:space="preserve"> All of the information relied upon by Scottish Ministers must be shared with the individual and opportunity given for them to make representations. Scottish Ministers must have regard to the representations.</w:t>
      </w:r>
      <w:r w:rsidR="00FE25D6" w:rsidRPr="007F62C8">
        <w:rPr>
          <w:sz w:val="20"/>
        </w:rPr>
        <w:t xml:space="preserve"> </w:t>
      </w:r>
      <w:r w:rsidR="00D94C85">
        <w:rPr>
          <w:sz w:val="20"/>
        </w:rPr>
        <w:t>There is a robust decision making process and decisions are always subjected to a high level of scrutiny before finalisation.</w:t>
      </w:r>
      <w:r w:rsidR="00FE25D6" w:rsidRPr="007F62C8">
        <w:rPr>
          <w:sz w:val="20"/>
        </w:rPr>
        <w:t>.</w:t>
      </w:r>
    </w:p>
    <w:p w:rsidR="00FE25D6" w:rsidRDefault="00FE25D6" w:rsidP="00FE25D6">
      <w:pPr>
        <w:ind w:left="-284"/>
        <w:rPr>
          <w:sz w:val="20"/>
        </w:rPr>
      </w:pPr>
    </w:p>
    <w:p w:rsidR="00FE25D6" w:rsidRDefault="001334E7" w:rsidP="001334E7">
      <w:pPr>
        <w:ind w:left="-284"/>
        <w:rPr>
          <w:sz w:val="20"/>
        </w:rPr>
      </w:pPr>
      <w:r>
        <w:rPr>
          <w:sz w:val="20"/>
        </w:rPr>
        <w:t>We developed t</w:t>
      </w:r>
      <w:r w:rsidR="00FE25D6">
        <w:rPr>
          <w:sz w:val="20"/>
        </w:rPr>
        <w:t>he structured decision-making process in consultation with forensic psychologists, a stakeholder group which included representation from local authority social work services, evaluation of academic papers and research, and has been the subject of a very positive follow-up review investigating the extent</w:t>
      </w:r>
      <w:r w:rsidR="00EC3059">
        <w:rPr>
          <w:sz w:val="20"/>
        </w:rPr>
        <w:t xml:space="preserve"> </w:t>
      </w:r>
      <w:r w:rsidR="00FE25D6">
        <w:rPr>
          <w:sz w:val="20"/>
        </w:rPr>
        <w:t xml:space="preserve"> to which real-world decision practice is consistent with the policies and procedures.</w:t>
      </w:r>
    </w:p>
    <w:p w:rsidR="00EC3059" w:rsidRPr="007F62C8" w:rsidRDefault="00EC3059" w:rsidP="00A4121E">
      <w:pPr>
        <w:ind w:left="-284"/>
        <w:rPr>
          <w:b/>
          <w:sz w:val="20"/>
        </w:rPr>
      </w:pPr>
    </w:p>
    <w:p w:rsidR="00EC3059" w:rsidRPr="007F62C8" w:rsidRDefault="00FE25D6" w:rsidP="00A4121E">
      <w:pPr>
        <w:ind w:left="-284"/>
        <w:rPr>
          <w:rStyle w:val="Strong"/>
          <w:rFonts w:cs="Arial"/>
          <w:bCs w:val="0"/>
          <w:color w:val="009E75"/>
          <w:sz w:val="22"/>
          <w:szCs w:val="22"/>
          <w:lang w:val="en"/>
        </w:rPr>
      </w:pPr>
      <w:r w:rsidRPr="007F62C8">
        <w:rPr>
          <w:rStyle w:val="Strong"/>
          <w:rFonts w:cs="Arial"/>
          <w:bCs w:val="0"/>
          <w:color w:val="009E75"/>
          <w:sz w:val="22"/>
          <w:szCs w:val="22"/>
          <w:lang w:val="en"/>
        </w:rPr>
        <w:lastRenderedPageBreak/>
        <w:t>Referrals to Disclosure Scotland</w:t>
      </w:r>
    </w:p>
    <w:p w:rsidR="00A4121E" w:rsidRDefault="00C5544D" w:rsidP="00D94C85">
      <w:pPr>
        <w:ind w:left="-284"/>
        <w:rPr>
          <w:sz w:val="20"/>
        </w:rPr>
      </w:pPr>
      <w:r>
        <w:rPr>
          <w:sz w:val="20"/>
        </w:rPr>
        <w:t>The Act places duties on employers to refer individuals to Disclosure Scotland when certain prescribed conditions are met. It also provides organisations with powers to refer individuals not otherwise covered by the duty to refer.</w:t>
      </w:r>
    </w:p>
    <w:p w:rsidR="00EC3059" w:rsidRPr="00A4121E" w:rsidRDefault="00EC3059" w:rsidP="00A4121E">
      <w:pPr>
        <w:ind w:left="-284"/>
        <w:rPr>
          <w:sz w:val="20"/>
        </w:rPr>
      </w:pPr>
    </w:p>
    <w:p w:rsidR="00A4121E" w:rsidRPr="00EC3059" w:rsidRDefault="00A4121E" w:rsidP="00A4121E">
      <w:pPr>
        <w:ind w:left="-284"/>
        <w:rPr>
          <w:rStyle w:val="Strong"/>
          <w:rFonts w:cs="Arial"/>
          <w:color w:val="009E75"/>
          <w:sz w:val="22"/>
          <w:szCs w:val="22"/>
          <w:lang w:val="en"/>
        </w:rPr>
      </w:pPr>
      <w:r w:rsidRPr="00EC3059">
        <w:rPr>
          <w:rStyle w:val="Strong"/>
          <w:rFonts w:cs="Arial"/>
          <w:color w:val="009E75"/>
          <w:sz w:val="22"/>
          <w:szCs w:val="22"/>
          <w:lang w:val="en"/>
        </w:rPr>
        <w:t>Making a Referral</w:t>
      </w:r>
    </w:p>
    <w:p w:rsidR="00A4121E" w:rsidRPr="00A4121E" w:rsidRDefault="00A4121E" w:rsidP="00D94C85">
      <w:pPr>
        <w:ind w:left="-284"/>
        <w:rPr>
          <w:sz w:val="20"/>
        </w:rPr>
      </w:pPr>
      <w:r w:rsidRPr="00A4121E">
        <w:rPr>
          <w:sz w:val="20"/>
        </w:rPr>
        <w:t>Under the Act</w:t>
      </w:r>
      <w:r w:rsidR="00EC3059">
        <w:rPr>
          <w:sz w:val="20"/>
        </w:rPr>
        <w:t xml:space="preserve">, </w:t>
      </w:r>
      <w:r w:rsidR="00FD13F8">
        <w:rPr>
          <w:sz w:val="20"/>
        </w:rPr>
        <w:t xml:space="preserve"> organisations and personne</w:t>
      </w:r>
      <w:r w:rsidRPr="00A4121E">
        <w:rPr>
          <w:sz w:val="20"/>
        </w:rPr>
        <w:t xml:space="preserve">l suppliers have a duty to make a referral (within three months of taking a final decision </w:t>
      </w:r>
      <w:r w:rsidR="001334E7">
        <w:rPr>
          <w:sz w:val="20"/>
        </w:rPr>
        <w:t>to dismiss an individual or move them permanently from regulated work</w:t>
      </w:r>
      <w:r w:rsidRPr="00A4121E">
        <w:rPr>
          <w:sz w:val="20"/>
        </w:rPr>
        <w:t xml:space="preserve">) </w:t>
      </w:r>
      <w:r w:rsidR="00D94C85">
        <w:rPr>
          <w:sz w:val="20"/>
        </w:rPr>
        <w:t xml:space="preserve">to Disclosure Scotland </w:t>
      </w:r>
      <w:r w:rsidRPr="00A4121E">
        <w:rPr>
          <w:sz w:val="20"/>
        </w:rPr>
        <w:t>when they are satisfied that an individual’s conduct meets the following criteria (referral ground):</w:t>
      </w:r>
    </w:p>
    <w:p w:rsidR="00A4121E" w:rsidRPr="00A4121E" w:rsidRDefault="00A4121E" w:rsidP="00A4121E">
      <w:pPr>
        <w:pStyle w:val="ListParagraph"/>
        <w:numPr>
          <w:ilvl w:val="0"/>
          <w:numId w:val="16"/>
        </w:numPr>
        <w:rPr>
          <w:sz w:val="20"/>
        </w:rPr>
      </w:pPr>
      <w:r w:rsidRPr="00A4121E">
        <w:rPr>
          <w:sz w:val="20"/>
        </w:rPr>
        <w:t>Harmed a child or protected adult</w:t>
      </w:r>
    </w:p>
    <w:p w:rsidR="00A4121E" w:rsidRPr="00A4121E" w:rsidRDefault="00A4121E" w:rsidP="00A4121E">
      <w:pPr>
        <w:pStyle w:val="ListParagraph"/>
        <w:numPr>
          <w:ilvl w:val="0"/>
          <w:numId w:val="16"/>
        </w:numPr>
        <w:rPr>
          <w:sz w:val="20"/>
        </w:rPr>
      </w:pPr>
      <w:r w:rsidRPr="00A4121E">
        <w:rPr>
          <w:sz w:val="20"/>
        </w:rPr>
        <w:t>Placed a child or protected adult at risk of harm</w:t>
      </w:r>
    </w:p>
    <w:p w:rsidR="00A4121E" w:rsidRPr="00A4121E" w:rsidRDefault="00A4121E" w:rsidP="00A4121E">
      <w:pPr>
        <w:pStyle w:val="ListParagraph"/>
        <w:numPr>
          <w:ilvl w:val="0"/>
          <w:numId w:val="16"/>
        </w:numPr>
        <w:rPr>
          <w:sz w:val="20"/>
        </w:rPr>
      </w:pPr>
      <w:r w:rsidRPr="00A4121E">
        <w:rPr>
          <w:sz w:val="20"/>
        </w:rPr>
        <w:t>Engaged in inappropriate conduct involving pornography</w:t>
      </w:r>
    </w:p>
    <w:p w:rsidR="00A4121E" w:rsidRPr="00A4121E" w:rsidRDefault="00A4121E" w:rsidP="00A4121E">
      <w:pPr>
        <w:pStyle w:val="ListParagraph"/>
        <w:numPr>
          <w:ilvl w:val="0"/>
          <w:numId w:val="16"/>
        </w:numPr>
        <w:rPr>
          <w:sz w:val="20"/>
        </w:rPr>
      </w:pPr>
      <w:r w:rsidRPr="00A4121E">
        <w:rPr>
          <w:sz w:val="20"/>
        </w:rPr>
        <w:t>Engaged in inappropriate conduct of a sexual nature involving a child or protected adult</w:t>
      </w:r>
    </w:p>
    <w:p w:rsidR="00A4121E" w:rsidRPr="00A4121E" w:rsidRDefault="00A4121E" w:rsidP="00A4121E">
      <w:pPr>
        <w:pStyle w:val="ListParagraph"/>
        <w:numPr>
          <w:ilvl w:val="0"/>
          <w:numId w:val="16"/>
        </w:numPr>
        <w:rPr>
          <w:sz w:val="20"/>
        </w:rPr>
      </w:pPr>
      <w:r w:rsidRPr="00A4121E">
        <w:rPr>
          <w:sz w:val="20"/>
        </w:rPr>
        <w:t>Given inappropriate medical treatment to a child or protected adult</w:t>
      </w:r>
    </w:p>
    <w:p w:rsidR="00A4121E" w:rsidRDefault="00A4121E" w:rsidP="00A4121E">
      <w:pPr>
        <w:ind w:left="-284"/>
        <w:rPr>
          <w:sz w:val="20"/>
        </w:rPr>
      </w:pPr>
    </w:p>
    <w:p w:rsidR="00EC3059" w:rsidRDefault="00A4121E" w:rsidP="001334E7">
      <w:pPr>
        <w:ind w:left="-284"/>
        <w:rPr>
          <w:sz w:val="20"/>
        </w:rPr>
      </w:pPr>
      <w:r>
        <w:rPr>
          <w:sz w:val="20"/>
        </w:rPr>
        <w:t xml:space="preserve">Employers </w:t>
      </w:r>
      <w:r w:rsidR="001334E7">
        <w:rPr>
          <w:b/>
          <w:sz w:val="20"/>
        </w:rPr>
        <w:t>may</w:t>
      </w:r>
      <w:r w:rsidR="001334E7" w:rsidRPr="00A4121E">
        <w:rPr>
          <w:b/>
          <w:sz w:val="20"/>
        </w:rPr>
        <w:t xml:space="preserve"> </w:t>
      </w:r>
      <w:r w:rsidRPr="00A4121E">
        <w:rPr>
          <w:b/>
          <w:sz w:val="20"/>
        </w:rPr>
        <w:t>only</w:t>
      </w:r>
      <w:r>
        <w:rPr>
          <w:sz w:val="20"/>
        </w:rPr>
        <w:t xml:space="preserve"> make a referral</w:t>
      </w:r>
      <w:r w:rsidRPr="00A4121E">
        <w:rPr>
          <w:sz w:val="20"/>
        </w:rPr>
        <w:t xml:space="preserve"> </w:t>
      </w:r>
      <w:r w:rsidR="001334E7" w:rsidRPr="00A4121E">
        <w:rPr>
          <w:sz w:val="20"/>
        </w:rPr>
        <w:t>whe</w:t>
      </w:r>
      <w:r w:rsidR="001334E7">
        <w:rPr>
          <w:sz w:val="20"/>
        </w:rPr>
        <w:t>n</w:t>
      </w:r>
      <w:r w:rsidR="001334E7" w:rsidRPr="00A4121E">
        <w:rPr>
          <w:sz w:val="20"/>
        </w:rPr>
        <w:t xml:space="preserve"> </w:t>
      </w:r>
      <w:r w:rsidRPr="00A4121E">
        <w:rPr>
          <w:sz w:val="20"/>
        </w:rPr>
        <w:t>they have dismissed</w:t>
      </w:r>
      <w:r w:rsidR="001334E7">
        <w:rPr>
          <w:sz w:val="20"/>
        </w:rPr>
        <w:t xml:space="preserve"> an individual or moved them permanently from regulated work with the group concerned or where they  </w:t>
      </w:r>
      <w:r w:rsidR="00FD13F8">
        <w:rPr>
          <w:sz w:val="20"/>
        </w:rPr>
        <w:t>would or might</w:t>
      </w:r>
      <w:r w:rsidR="001334E7">
        <w:rPr>
          <w:sz w:val="20"/>
        </w:rPr>
        <w:t xml:space="preserve"> </w:t>
      </w:r>
      <w:r w:rsidRPr="00A4121E">
        <w:rPr>
          <w:sz w:val="20"/>
        </w:rPr>
        <w:t>have dismissed had</w:t>
      </w:r>
      <w:r w:rsidR="001334E7">
        <w:rPr>
          <w:sz w:val="20"/>
        </w:rPr>
        <w:t xml:space="preserve"> the individual</w:t>
      </w:r>
      <w:r w:rsidRPr="00A4121E">
        <w:rPr>
          <w:sz w:val="20"/>
        </w:rPr>
        <w:t xml:space="preserve"> not left the</w:t>
      </w:r>
      <w:r w:rsidR="001334E7">
        <w:rPr>
          <w:sz w:val="20"/>
        </w:rPr>
        <w:t>ir</w:t>
      </w:r>
      <w:r w:rsidRPr="00A4121E">
        <w:rPr>
          <w:sz w:val="20"/>
        </w:rPr>
        <w:t xml:space="preserve"> employment</w:t>
      </w:r>
      <w:r w:rsidR="001334E7">
        <w:rPr>
          <w:sz w:val="20"/>
        </w:rPr>
        <w:t xml:space="preserve"> before the decision was made</w:t>
      </w:r>
      <w:r w:rsidR="00D94C85">
        <w:rPr>
          <w:sz w:val="20"/>
        </w:rPr>
        <w:t>,</w:t>
      </w:r>
      <w:r w:rsidR="001334E7">
        <w:rPr>
          <w:sz w:val="20"/>
        </w:rPr>
        <w:t xml:space="preserve"> or had they known the information at the time the individual worked for them. </w:t>
      </w:r>
      <w:r w:rsidRPr="00A4121E">
        <w:rPr>
          <w:sz w:val="20"/>
        </w:rPr>
        <w:t xml:space="preserve"> </w:t>
      </w:r>
    </w:p>
    <w:p w:rsidR="001334E7" w:rsidRDefault="001334E7" w:rsidP="001334E7">
      <w:pPr>
        <w:ind w:left="-284"/>
        <w:rPr>
          <w:sz w:val="20"/>
        </w:rPr>
      </w:pPr>
    </w:p>
    <w:p w:rsidR="00EC3059" w:rsidRDefault="00EC3059" w:rsidP="00A4121E">
      <w:pPr>
        <w:ind w:left="-284"/>
        <w:rPr>
          <w:sz w:val="20"/>
        </w:rPr>
      </w:pPr>
    </w:p>
    <w:p w:rsidR="00EC3059" w:rsidRPr="00EC3059" w:rsidRDefault="00EC3059" w:rsidP="00A4121E">
      <w:pPr>
        <w:ind w:left="-284"/>
        <w:rPr>
          <w:rStyle w:val="Strong"/>
          <w:rFonts w:cs="Arial"/>
          <w:color w:val="009E75"/>
          <w:sz w:val="22"/>
          <w:szCs w:val="22"/>
          <w:lang w:val="en"/>
        </w:rPr>
      </w:pPr>
      <w:r w:rsidRPr="00EC3059">
        <w:rPr>
          <w:rStyle w:val="Strong"/>
          <w:rFonts w:cs="Arial"/>
          <w:color w:val="009E75"/>
          <w:sz w:val="22"/>
          <w:szCs w:val="22"/>
          <w:lang w:val="en"/>
        </w:rPr>
        <w:t>Duty to refer</w:t>
      </w:r>
    </w:p>
    <w:p w:rsidR="00EC3059" w:rsidRDefault="00EC3059" w:rsidP="00D94C85">
      <w:pPr>
        <w:ind w:left="-284"/>
        <w:rPr>
          <w:sz w:val="20"/>
        </w:rPr>
      </w:pPr>
      <w:r>
        <w:rPr>
          <w:sz w:val="20"/>
        </w:rPr>
        <w:t>Under Section 9 of the Act organisations have a duty to make referrals where the above grounds have been met. The legislation states that failure to refer an individual within 3 months of the date</w:t>
      </w:r>
      <w:r w:rsidR="007F62C8">
        <w:rPr>
          <w:sz w:val="20"/>
        </w:rPr>
        <w:t xml:space="preserve"> that</w:t>
      </w:r>
      <w:r>
        <w:rPr>
          <w:sz w:val="20"/>
        </w:rPr>
        <w:t xml:space="preserve"> the duty </w:t>
      </w:r>
      <w:r w:rsidR="001A03F4">
        <w:rPr>
          <w:sz w:val="20"/>
        </w:rPr>
        <w:t xml:space="preserve">is an offence. </w:t>
      </w:r>
    </w:p>
    <w:p w:rsidR="00D94C85" w:rsidRDefault="00D94C85" w:rsidP="00A4121E">
      <w:pPr>
        <w:ind w:left="-284"/>
        <w:rPr>
          <w:sz w:val="20"/>
        </w:rPr>
      </w:pPr>
    </w:p>
    <w:p w:rsidR="00D94C85" w:rsidRDefault="00D94C85" w:rsidP="00D94C85">
      <w:pPr>
        <w:ind w:left="-284"/>
        <w:rPr>
          <w:sz w:val="20"/>
        </w:rPr>
      </w:pPr>
      <w:r>
        <w:rPr>
          <w:sz w:val="20"/>
        </w:rPr>
        <w:t>Section 6 of the Act provides that employers who dismissed (or moved permanently from regulated work with the relevant group) an employee for conduct satisfying in a referral ground in section 2 before the legislation came into force on 28 February 2011 can make a referral, but are under no duty to do so.</w:t>
      </w:r>
    </w:p>
    <w:p w:rsidR="00D94C85" w:rsidRDefault="00D94C85" w:rsidP="00A4121E">
      <w:pPr>
        <w:ind w:left="-284"/>
        <w:rPr>
          <w:sz w:val="20"/>
        </w:rPr>
      </w:pPr>
    </w:p>
    <w:p w:rsidR="00EC3059" w:rsidRDefault="00EC3059" w:rsidP="00A4121E">
      <w:pPr>
        <w:ind w:left="-284"/>
        <w:rPr>
          <w:sz w:val="20"/>
        </w:rPr>
      </w:pPr>
    </w:p>
    <w:sectPr w:rsidR="00EC3059" w:rsidSect="0069005F">
      <w:headerReference w:type="default" r:id="rId11"/>
      <w:footerReference w:type="default" r:id="rId12"/>
      <w:pgSz w:w="16838" w:h="11906" w:orient="landscape" w:code="9"/>
      <w:pgMar w:top="851" w:right="680" w:bottom="851" w:left="1134" w:header="720" w:footer="720" w:gutter="0"/>
      <w:cols w:num="2"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9F" w:rsidRDefault="002B4A9F">
      <w:pPr>
        <w:spacing w:line="240" w:lineRule="auto"/>
      </w:pPr>
      <w:r>
        <w:separator/>
      </w:r>
    </w:p>
  </w:endnote>
  <w:endnote w:type="continuationSeparator" w:id="0">
    <w:p w:rsidR="002B4A9F" w:rsidRDefault="002B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F" w:rsidRPr="0067486A" w:rsidRDefault="002B4A9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9F" w:rsidRDefault="002B4A9F">
      <w:pPr>
        <w:spacing w:line="240" w:lineRule="auto"/>
      </w:pPr>
      <w:r>
        <w:separator/>
      </w:r>
    </w:p>
  </w:footnote>
  <w:footnote w:type="continuationSeparator" w:id="0">
    <w:p w:rsidR="002B4A9F" w:rsidRDefault="002B4A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9F" w:rsidRPr="0067486A" w:rsidRDefault="002B4A9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304B30"/>
    <w:multiLevelType w:val="hybridMultilevel"/>
    <w:tmpl w:val="4E103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42C12"/>
    <w:multiLevelType w:val="hybridMultilevel"/>
    <w:tmpl w:val="0EBEF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AF6D00"/>
    <w:multiLevelType w:val="hybridMultilevel"/>
    <w:tmpl w:val="B46C090A"/>
    <w:lvl w:ilvl="0" w:tplc="257A0D00">
      <w:start w:val="1"/>
      <w:numFmt w:val="bullet"/>
      <w:lvlText w:val="•"/>
      <w:lvlJc w:val="left"/>
      <w:pPr>
        <w:tabs>
          <w:tab w:val="num" w:pos="720"/>
        </w:tabs>
        <w:ind w:left="720" w:hanging="360"/>
      </w:pPr>
      <w:rPr>
        <w:rFonts w:ascii="Times New Roman" w:hAnsi="Times New Roman" w:hint="default"/>
      </w:rPr>
    </w:lvl>
    <w:lvl w:ilvl="1" w:tplc="FAC4B2A6" w:tentative="1">
      <w:start w:val="1"/>
      <w:numFmt w:val="bullet"/>
      <w:lvlText w:val="•"/>
      <w:lvlJc w:val="left"/>
      <w:pPr>
        <w:tabs>
          <w:tab w:val="num" w:pos="1440"/>
        </w:tabs>
        <w:ind w:left="1440" w:hanging="360"/>
      </w:pPr>
      <w:rPr>
        <w:rFonts w:ascii="Times New Roman" w:hAnsi="Times New Roman" w:hint="default"/>
      </w:rPr>
    </w:lvl>
    <w:lvl w:ilvl="2" w:tplc="04103D5A" w:tentative="1">
      <w:start w:val="1"/>
      <w:numFmt w:val="bullet"/>
      <w:lvlText w:val="•"/>
      <w:lvlJc w:val="left"/>
      <w:pPr>
        <w:tabs>
          <w:tab w:val="num" w:pos="2160"/>
        </w:tabs>
        <w:ind w:left="2160" w:hanging="360"/>
      </w:pPr>
      <w:rPr>
        <w:rFonts w:ascii="Times New Roman" w:hAnsi="Times New Roman" w:hint="default"/>
      </w:rPr>
    </w:lvl>
    <w:lvl w:ilvl="3" w:tplc="264EE810" w:tentative="1">
      <w:start w:val="1"/>
      <w:numFmt w:val="bullet"/>
      <w:lvlText w:val="•"/>
      <w:lvlJc w:val="left"/>
      <w:pPr>
        <w:tabs>
          <w:tab w:val="num" w:pos="2880"/>
        </w:tabs>
        <w:ind w:left="2880" w:hanging="360"/>
      </w:pPr>
      <w:rPr>
        <w:rFonts w:ascii="Times New Roman" w:hAnsi="Times New Roman" w:hint="default"/>
      </w:rPr>
    </w:lvl>
    <w:lvl w:ilvl="4" w:tplc="2EA283E0" w:tentative="1">
      <w:start w:val="1"/>
      <w:numFmt w:val="bullet"/>
      <w:lvlText w:val="•"/>
      <w:lvlJc w:val="left"/>
      <w:pPr>
        <w:tabs>
          <w:tab w:val="num" w:pos="3600"/>
        </w:tabs>
        <w:ind w:left="3600" w:hanging="360"/>
      </w:pPr>
      <w:rPr>
        <w:rFonts w:ascii="Times New Roman" w:hAnsi="Times New Roman" w:hint="default"/>
      </w:rPr>
    </w:lvl>
    <w:lvl w:ilvl="5" w:tplc="D174DEC0" w:tentative="1">
      <w:start w:val="1"/>
      <w:numFmt w:val="bullet"/>
      <w:lvlText w:val="•"/>
      <w:lvlJc w:val="left"/>
      <w:pPr>
        <w:tabs>
          <w:tab w:val="num" w:pos="4320"/>
        </w:tabs>
        <w:ind w:left="4320" w:hanging="360"/>
      </w:pPr>
      <w:rPr>
        <w:rFonts w:ascii="Times New Roman" w:hAnsi="Times New Roman" w:hint="default"/>
      </w:rPr>
    </w:lvl>
    <w:lvl w:ilvl="6" w:tplc="28326B3E" w:tentative="1">
      <w:start w:val="1"/>
      <w:numFmt w:val="bullet"/>
      <w:lvlText w:val="•"/>
      <w:lvlJc w:val="left"/>
      <w:pPr>
        <w:tabs>
          <w:tab w:val="num" w:pos="5040"/>
        </w:tabs>
        <w:ind w:left="5040" w:hanging="360"/>
      </w:pPr>
      <w:rPr>
        <w:rFonts w:ascii="Times New Roman" w:hAnsi="Times New Roman" w:hint="default"/>
      </w:rPr>
    </w:lvl>
    <w:lvl w:ilvl="7" w:tplc="9684ECAE" w:tentative="1">
      <w:start w:val="1"/>
      <w:numFmt w:val="bullet"/>
      <w:lvlText w:val="•"/>
      <w:lvlJc w:val="left"/>
      <w:pPr>
        <w:tabs>
          <w:tab w:val="num" w:pos="5760"/>
        </w:tabs>
        <w:ind w:left="5760" w:hanging="360"/>
      </w:pPr>
      <w:rPr>
        <w:rFonts w:ascii="Times New Roman" w:hAnsi="Times New Roman" w:hint="default"/>
      </w:rPr>
    </w:lvl>
    <w:lvl w:ilvl="8" w:tplc="6DBC26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5847A1"/>
    <w:multiLevelType w:val="hybridMultilevel"/>
    <w:tmpl w:val="5C86D3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20004EA4"/>
    <w:multiLevelType w:val="hybridMultilevel"/>
    <w:tmpl w:val="860021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26E963B8"/>
    <w:multiLevelType w:val="hybridMultilevel"/>
    <w:tmpl w:val="B3429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9D2719"/>
    <w:multiLevelType w:val="hybridMultilevel"/>
    <w:tmpl w:val="91C6F13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3CE7359C"/>
    <w:multiLevelType w:val="hybridMultilevel"/>
    <w:tmpl w:val="C14E3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16B73ED"/>
    <w:multiLevelType w:val="hybridMultilevel"/>
    <w:tmpl w:val="40D6C2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43A003C2"/>
    <w:multiLevelType w:val="multilevel"/>
    <w:tmpl w:val="D24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92C82"/>
    <w:multiLevelType w:val="hybridMultilevel"/>
    <w:tmpl w:val="DCE61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04A09"/>
    <w:multiLevelType w:val="hybridMultilevel"/>
    <w:tmpl w:val="172A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561DC3"/>
    <w:multiLevelType w:val="hybridMultilevel"/>
    <w:tmpl w:val="37287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661A3A93"/>
    <w:multiLevelType w:val="hybridMultilevel"/>
    <w:tmpl w:val="1110EF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1125DE"/>
    <w:multiLevelType w:val="hybridMultilevel"/>
    <w:tmpl w:val="DC2282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8"/>
  </w:num>
  <w:num w:numId="6">
    <w:abstractNumId w:val="9"/>
  </w:num>
  <w:num w:numId="7">
    <w:abstractNumId w:val="12"/>
  </w:num>
  <w:num w:numId="8">
    <w:abstractNumId w:val="2"/>
  </w:num>
  <w:num w:numId="9">
    <w:abstractNumId w:val="13"/>
  </w:num>
  <w:num w:numId="10">
    <w:abstractNumId w:val="15"/>
  </w:num>
  <w:num w:numId="11">
    <w:abstractNumId w:val="6"/>
  </w:num>
  <w:num w:numId="12">
    <w:abstractNumId w:val="11"/>
  </w:num>
  <w:num w:numId="13">
    <w:abstractNumId w:val="1"/>
  </w:num>
  <w:num w:numId="14">
    <w:abstractNumId w:val="7"/>
  </w:num>
  <w:num w:numId="15">
    <w:abstractNumId w:val="10"/>
  </w:num>
  <w:num w:numId="16">
    <w:abstractNumId w:val="5"/>
  </w:num>
  <w:num w:numId="17">
    <w:abstractNumId w:val="4"/>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FA"/>
    <w:rsid w:val="00014618"/>
    <w:rsid w:val="0002011D"/>
    <w:rsid w:val="000428EE"/>
    <w:rsid w:val="00056685"/>
    <w:rsid w:val="00070814"/>
    <w:rsid w:val="000A165E"/>
    <w:rsid w:val="000A7424"/>
    <w:rsid w:val="000B477F"/>
    <w:rsid w:val="000B5EC4"/>
    <w:rsid w:val="000E24D5"/>
    <w:rsid w:val="00100021"/>
    <w:rsid w:val="001030DD"/>
    <w:rsid w:val="001267F7"/>
    <w:rsid w:val="001334E7"/>
    <w:rsid w:val="00140656"/>
    <w:rsid w:val="00157346"/>
    <w:rsid w:val="00172694"/>
    <w:rsid w:val="0018024E"/>
    <w:rsid w:val="00183D28"/>
    <w:rsid w:val="00186AF9"/>
    <w:rsid w:val="00192CDF"/>
    <w:rsid w:val="00192DC7"/>
    <w:rsid w:val="0019647B"/>
    <w:rsid w:val="001A03F4"/>
    <w:rsid w:val="001D3D77"/>
    <w:rsid w:val="001D7465"/>
    <w:rsid w:val="00212E6D"/>
    <w:rsid w:val="00234BE3"/>
    <w:rsid w:val="00282710"/>
    <w:rsid w:val="002B4A9F"/>
    <w:rsid w:val="002B4F7B"/>
    <w:rsid w:val="002C3CF6"/>
    <w:rsid w:val="002E163A"/>
    <w:rsid w:val="002F3688"/>
    <w:rsid w:val="00305705"/>
    <w:rsid w:val="003350AA"/>
    <w:rsid w:val="00352583"/>
    <w:rsid w:val="003537E1"/>
    <w:rsid w:val="00370173"/>
    <w:rsid w:val="00374E95"/>
    <w:rsid w:val="003B3C48"/>
    <w:rsid w:val="003E1108"/>
    <w:rsid w:val="003E31DE"/>
    <w:rsid w:val="003F2479"/>
    <w:rsid w:val="00402BE9"/>
    <w:rsid w:val="00411FC4"/>
    <w:rsid w:val="004C365A"/>
    <w:rsid w:val="004D76B7"/>
    <w:rsid w:val="004D7AD2"/>
    <w:rsid w:val="004F0D37"/>
    <w:rsid w:val="004F5D40"/>
    <w:rsid w:val="00502EEE"/>
    <w:rsid w:val="0051606A"/>
    <w:rsid w:val="005619AD"/>
    <w:rsid w:val="00570231"/>
    <w:rsid w:val="005B1D17"/>
    <w:rsid w:val="005D1D58"/>
    <w:rsid w:val="00601CFA"/>
    <w:rsid w:val="00634ADC"/>
    <w:rsid w:val="006654E6"/>
    <w:rsid w:val="0067486A"/>
    <w:rsid w:val="00684FD4"/>
    <w:rsid w:val="0069005F"/>
    <w:rsid w:val="006D26F7"/>
    <w:rsid w:val="0076211B"/>
    <w:rsid w:val="007A7FEA"/>
    <w:rsid w:val="007E6924"/>
    <w:rsid w:val="007F62C8"/>
    <w:rsid w:val="00807F0B"/>
    <w:rsid w:val="0082243A"/>
    <w:rsid w:val="00822C43"/>
    <w:rsid w:val="008434ED"/>
    <w:rsid w:val="00880A3C"/>
    <w:rsid w:val="00932624"/>
    <w:rsid w:val="00945C19"/>
    <w:rsid w:val="00952710"/>
    <w:rsid w:val="009E3143"/>
    <w:rsid w:val="009F71B8"/>
    <w:rsid w:val="00A03EEC"/>
    <w:rsid w:val="00A12552"/>
    <w:rsid w:val="00A4121E"/>
    <w:rsid w:val="00A56EBA"/>
    <w:rsid w:val="00A816AB"/>
    <w:rsid w:val="00A90A53"/>
    <w:rsid w:val="00AA68D5"/>
    <w:rsid w:val="00AB54FF"/>
    <w:rsid w:val="00AC310B"/>
    <w:rsid w:val="00AD7A61"/>
    <w:rsid w:val="00AE01CB"/>
    <w:rsid w:val="00AE4BD1"/>
    <w:rsid w:val="00AF4906"/>
    <w:rsid w:val="00B051BD"/>
    <w:rsid w:val="00B753E6"/>
    <w:rsid w:val="00C177DB"/>
    <w:rsid w:val="00C5544D"/>
    <w:rsid w:val="00C86FBA"/>
    <w:rsid w:val="00CC40DC"/>
    <w:rsid w:val="00CE3E7F"/>
    <w:rsid w:val="00CE4291"/>
    <w:rsid w:val="00D94C85"/>
    <w:rsid w:val="00DB104C"/>
    <w:rsid w:val="00E107EA"/>
    <w:rsid w:val="00E20BFB"/>
    <w:rsid w:val="00E3599D"/>
    <w:rsid w:val="00E36759"/>
    <w:rsid w:val="00E43BF5"/>
    <w:rsid w:val="00E47ECB"/>
    <w:rsid w:val="00E51344"/>
    <w:rsid w:val="00E57BA2"/>
    <w:rsid w:val="00E97D19"/>
    <w:rsid w:val="00EA1CAB"/>
    <w:rsid w:val="00EC3059"/>
    <w:rsid w:val="00EE4715"/>
    <w:rsid w:val="00F50302"/>
    <w:rsid w:val="00F774ED"/>
    <w:rsid w:val="00FB2B76"/>
    <w:rsid w:val="00FC428E"/>
    <w:rsid w:val="00FD13F8"/>
    <w:rsid w:val="00FE25D6"/>
    <w:rsid w:val="00FF5F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F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0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FA"/>
    <w:rPr>
      <w:rFonts w:ascii="Tahoma" w:hAnsi="Tahoma" w:cs="Tahoma"/>
      <w:sz w:val="16"/>
      <w:szCs w:val="16"/>
      <w:lang w:eastAsia="en-US"/>
    </w:rPr>
  </w:style>
  <w:style w:type="paragraph" w:styleId="ListParagraph">
    <w:name w:val="List Paragraph"/>
    <w:basedOn w:val="Normal"/>
    <w:uiPriority w:val="34"/>
    <w:qFormat/>
    <w:rsid w:val="001D7465"/>
    <w:pPr>
      <w:ind w:left="720"/>
      <w:contextualSpacing/>
    </w:pPr>
  </w:style>
  <w:style w:type="character" w:styleId="Strong">
    <w:name w:val="Strong"/>
    <w:basedOn w:val="DefaultParagraphFont"/>
    <w:uiPriority w:val="22"/>
    <w:qFormat/>
    <w:rsid w:val="007E6924"/>
    <w:rPr>
      <w:b/>
      <w:bCs/>
    </w:rPr>
  </w:style>
  <w:style w:type="character" w:styleId="Hyperlink">
    <w:name w:val="Hyperlink"/>
    <w:basedOn w:val="DefaultParagraphFont"/>
    <w:uiPriority w:val="99"/>
    <w:unhideWhenUsed/>
    <w:rsid w:val="00634ADC"/>
    <w:rPr>
      <w:color w:val="0000FF" w:themeColor="hyperlink"/>
      <w:u w:val="single"/>
    </w:rPr>
  </w:style>
  <w:style w:type="character" w:styleId="CommentReference">
    <w:name w:val="annotation reference"/>
    <w:basedOn w:val="DefaultParagraphFont"/>
    <w:uiPriority w:val="99"/>
    <w:semiHidden/>
    <w:unhideWhenUsed/>
    <w:rsid w:val="00A03EEC"/>
    <w:rPr>
      <w:sz w:val="16"/>
      <w:szCs w:val="16"/>
    </w:rPr>
  </w:style>
  <w:style w:type="paragraph" w:styleId="CommentText">
    <w:name w:val="annotation text"/>
    <w:basedOn w:val="Normal"/>
    <w:link w:val="CommentTextChar"/>
    <w:uiPriority w:val="99"/>
    <w:semiHidden/>
    <w:unhideWhenUsed/>
    <w:rsid w:val="00A03EEC"/>
    <w:pPr>
      <w:spacing w:line="240" w:lineRule="auto"/>
    </w:pPr>
    <w:rPr>
      <w:sz w:val="20"/>
    </w:rPr>
  </w:style>
  <w:style w:type="character" w:customStyle="1" w:styleId="CommentTextChar">
    <w:name w:val="Comment Text Char"/>
    <w:basedOn w:val="DefaultParagraphFont"/>
    <w:link w:val="CommentText"/>
    <w:uiPriority w:val="99"/>
    <w:semiHidden/>
    <w:rsid w:val="00A03EEC"/>
    <w:rPr>
      <w:sz w:val="20"/>
      <w:lang w:eastAsia="en-US"/>
    </w:rPr>
  </w:style>
  <w:style w:type="paragraph" w:styleId="CommentSubject">
    <w:name w:val="annotation subject"/>
    <w:basedOn w:val="CommentText"/>
    <w:next w:val="CommentText"/>
    <w:link w:val="CommentSubjectChar"/>
    <w:uiPriority w:val="99"/>
    <w:semiHidden/>
    <w:unhideWhenUsed/>
    <w:rsid w:val="00A03EEC"/>
    <w:rPr>
      <w:b/>
      <w:bCs/>
    </w:rPr>
  </w:style>
  <w:style w:type="character" w:customStyle="1" w:styleId="CommentSubjectChar">
    <w:name w:val="Comment Subject Char"/>
    <w:basedOn w:val="CommentTextChar"/>
    <w:link w:val="CommentSubject"/>
    <w:uiPriority w:val="99"/>
    <w:semiHidden/>
    <w:rsid w:val="00A03EEC"/>
    <w:rPr>
      <w:b/>
      <w:bCs/>
      <w:sz w:val="20"/>
      <w:lang w:eastAsia="en-US"/>
    </w:rPr>
  </w:style>
  <w:style w:type="paragraph" w:styleId="NormalWeb">
    <w:name w:val="Normal (Web)"/>
    <w:basedOn w:val="Normal"/>
    <w:uiPriority w:val="99"/>
    <w:semiHidden/>
    <w:unhideWhenUsed/>
    <w:rsid w:val="00A4121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F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01C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CFA"/>
    <w:rPr>
      <w:rFonts w:ascii="Tahoma" w:hAnsi="Tahoma" w:cs="Tahoma"/>
      <w:sz w:val="16"/>
      <w:szCs w:val="16"/>
      <w:lang w:eastAsia="en-US"/>
    </w:rPr>
  </w:style>
  <w:style w:type="paragraph" w:styleId="ListParagraph">
    <w:name w:val="List Paragraph"/>
    <w:basedOn w:val="Normal"/>
    <w:uiPriority w:val="34"/>
    <w:qFormat/>
    <w:rsid w:val="001D7465"/>
    <w:pPr>
      <w:ind w:left="720"/>
      <w:contextualSpacing/>
    </w:pPr>
  </w:style>
  <w:style w:type="character" w:styleId="Strong">
    <w:name w:val="Strong"/>
    <w:basedOn w:val="DefaultParagraphFont"/>
    <w:uiPriority w:val="22"/>
    <w:qFormat/>
    <w:rsid w:val="007E6924"/>
    <w:rPr>
      <w:b/>
      <w:bCs/>
    </w:rPr>
  </w:style>
  <w:style w:type="character" w:styleId="Hyperlink">
    <w:name w:val="Hyperlink"/>
    <w:basedOn w:val="DefaultParagraphFont"/>
    <w:uiPriority w:val="99"/>
    <w:unhideWhenUsed/>
    <w:rsid w:val="00634ADC"/>
    <w:rPr>
      <w:color w:val="0000FF" w:themeColor="hyperlink"/>
      <w:u w:val="single"/>
    </w:rPr>
  </w:style>
  <w:style w:type="character" w:styleId="CommentReference">
    <w:name w:val="annotation reference"/>
    <w:basedOn w:val="DefaultParagraphFont"/>
    <w:uiPriority w:val="99"/>
    <w:semiHidden/>
    <w:unhideWhenUsed/>
    <w:rsid w:val="00A03EEC"/>
    <w:rPr>
      <w:sz w:val="16"/>
      <w:szCs w:val="16"/>
    </w:rPr>
  </w:style>
  <w:style w:type="paragraph" w:styleId="CommentText">
    <w:name w:val="annotation text"/>
    <w:basedOn w:val="Normal"/>
    <w:link w:val="CommentTextChar"/>
    <w:uiPriority w:val="99"/>
    <w:semiHidden/>
    <w:unhideWhenUsed/>
    <w:rsid w:val="00A03EEC"/>
    <w:pPr>
      <w:spacing w:line="240" w:lineRule="auto"/>
    </w:pPr>
    <w:rPr>
      <w:sz w:val="20"/>
    </w:rPr>
  </w:style>
  <w:style w:type="character" w:customStyle="1" w:styleId="CommentTextChar">
    <w:name w:val="Comment Text Char"/>
    <w:basedOn w:val="DefaultParagraphFont"/>
    <w:link w:val="CommentText"/>
    <w:uiPriority w:val="99"/>
    <w:semiHidden/>
    <w:rsid w:val="00A03EEC"/>
    <w:rPr>
      <w:sz w:val="20"/>
      <w:lang w:eastAsia="en-US"/>
    </w:rPr>
  </w:style>
  <w:style w:type="paragraph" w:styleId="CommentSubject">
    <w:name w:val="annotation subject"/>
    <w:basedOn w:val="CommentText"/>
    <w:next w:val="CommentText"/>
    <w:link w:val="CommentSubjectChar"/>
    <w:uiPriority w:val="99"/>
    <w:semiHidden/>
    <w:unhideWhenUsed/>
    <w:rsid w:val="00A03EEC"/>
    <w:rPr>
      <w:b/>
      <w:bCs/>
    </w:rPr>
  </w:style>
  <w:style w:type="character" w:customStyle="1" w:styleId="CommentSubjectChar">
    <w:name w:val="Comment Subject Char"/>
    <w:basedOn w:val="CommentTextChar"/>
    <w:link w:val="CommentSubject"/>
    <w:uiPriority w:val="99"/>
    <w:semiHidden/>
    <w:rsid w:val="00A03EEC"/>
    <w:rPr>
      <w:b/>
      <w:bCs/>
      <w:sz w:val="20"/>
      <w:lang w:eastAsia="en-US"/>
    </w:rPr>
  </w:style>
  <w:style w:type="paragraph" w:styleId="NormalWeb">
    <w:name w:val="Normal (Web)"/>
    <w:basedOn w:val="Normal"/>
    <w:uiPriority w:val="99"/>
    <w:semiHidden/>
    <w:unhideWhenUsed/>
    <w:rsid w:val="00A4121E"/>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7652">
      <w:bodyDiv w:val="1"/>
      <w:marLeft w:val="0"/>
      <w:marRight w:val="0"/>
      <w:marTop w:val="0"/>
      <w:marBottom w:val="0"/>
      <w:divBdr>
        <w:top w:val="none" w:sz="0" w:space="0" w:color="auto"/>
        <w:left w:val="none" w:sz="0" w:space="0" w:color="auto"/>
        <w:bottom w:val="none" w:sz="0" w:space="0" w:color="auto"/>
        <w:right w:val="none" w:sz="0" w:space="0" w:color="auto"/>
      </w:divBdr>
      <w:divsChild>
        <w:div w:id="1616060298">
          <w:marLeft w:val="0"/>
          <w:marRight w:val="0"/>
          <w:marTop w:val="0"/>
          <w:marBottom w:val="0"/>
          <w:divBdr>
            <w:top w:val="none" w:sz="0" w:space="0" w:color="auto"/>
            <w:left w:val="none" w:sz="0" w:space="0" w:color="auto"/>
            <w:bottom w:val="none" w:sz="0" w:space="0" w:color="auto"/>
            <w:right w:val="none" w:sz="0" w:space="0" w:color="auto"/>
          </w:divBdr>
          <w:divsChild>
            <w:div w:id="11480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4191">
      <w:bodyDiv w:val="1"/>
      <w:marLeft w:val="0"/>
      <w:marRight w:val="0"/>
      <w:marTop w:val="0"/>
      <w:marBottom w:val="0"/>
      <w:divBdr>
        <w:top w:val="none" w:sz="0" w:space="0" w:color="auto"/>
        <w:left w:val="none" w:sz="0" w:space="0" w:color="auto"/>
        <w:bottom w:val="none" w:sz="0" w:space="0" w:color="auto"/>
        <w:right w:val="none" w:sz="0" w:space="0" w:color="auto"/>
      </w:divBdr>
      <w:divsChild>
        <w:div w:id="1217930868">
          <w:marLeft w:val="547"/>
          <w:marRight w:val="0"/>
          <w:marTop w:val="134"/>
          <w:marBottom w:val="0"/>
          <w:divBdr>
            <w:top w:val="none" w:sz="0" w:space="0" w:color="auto"/>
            <w:left w:val="none" w:sz="0" w:space="0" w:color="auto"/>
            <w:bottom w:val="none" w:sz="0" w:space="0" w:color="auto"/>
            <w:right w:val="none" w:sz="0" w:space="0" w:color="auto"/>
          </w:divBdr>
        </w:div>
        <w:div w:id="653141500">
          <w:marLeft w:val="547"/>
          <w:marRight w:val="0"/>
          <w:marTop w:val="134"/>
          <w:marBottom w:val="0"/>
          <w:divBdr>
            <w:top w:val="none" w:sz="0" w:space="0" w:color="auto"/>
            <w:left w:val="none" w:sz="0" w:space="0" w:color="auto"/>
            <w:bottom w:val="none" w:sz="0" w:space="0" w:color="auto"/>
            <w:right w:val="none" w:sz="0" w:space="0" w:color="auto"/>
          </w:divBdr>
        </w:div>
        <w:div w:id="2086491650">
          <w:marLeft w:val="547"/>
          <w:marRight w:val="0"/>
          <w:marTop w:val="134"/>
          <w:marBottom w:val="0"/>
          <w:divBdr>
            <w:top w:val="none" w:sz="0" w:space="0" w:color="auto"/>
            <w:left w:val="none" w:sz="0" w:space="0" w:color="auto"/>
            <w:bottom w:val="none" w:sz="0" w:space="0" w:color="auto"/>
            <w:right w:val="none" w:sz="0" w:space="0" w:color="auto"/>
          </w:divBdr>
        </w:div>
        <w:div w:id="1063527478">
          <w:marLeft w:val="547"/>
          <w:marRight w:val="0"/>
          <w:marTop w:val="134"/>
          <w:marBottom w:val="0"/>
          <w:divBdr>
            <w:top w:val="none" w:sz="0" w:space="0" w:color="auto"/>
            <w:left w:val="none" w:sz="0" w:space="0" w:color="auto"/>
            <w:bottom w:val="none" w:sz="0" w:space="0" w:color="auto"/>
            <w:right w:val="none" w:sz="0" w:space="0" w:color="auto"/>
          </w:divBdr>
        </w:div>
        <w:div w:id="1359545387">
          <w:marLeft w:val="547"/>
          <w:marRight w:val="0"/>
          <w:marTop w:val="134"/>
          <w:marBottom w:val="0"/>
          <w:divBdr>
            <w:top w:val="none" w:sz="0" w:space="0" w:color="auto"/>
            <w:left w:val="none" w:sz="0" w:space="0" w:color="auto"/>
            <w:bottom w:val="none" w:sz="0" w:space="0" w:color="auto"/>
            <w:right w:val="none" w:sz="0" w:space="0" w:color="auto"/>
          </w:divBdr>
        </w:div>
        <w:div w:id="1625958917">
          <w:marLeft w:val="547"/>
          <w:marRight w:val="0"/>
          <w:marTop w:val="134"/>
          <w:marBottom w:val="0"/>
          <w:divBdr>
            <w:top w:val="none" w:sz="0" w:space="0" w:color="auto"/>
            <w:left w:val="none" w:sz="0" w:space="0" w:color="auto"/>
            <w:bottom w:val="none" w:sz="0" w:space="0" w:color="auto"/>
            <w:right w:val="none" w:sz="0" w:space="0" w:color="auto"/>
          </w:divBdr>
        </w:div>
      </w:divsChild>
    </w:div>
    <w:div w:id="226646626">
      <w:bodyDiv w:val="1"/>
      <w:marLeft w:val="0"/>
      <w:marRight w:val="0"/>
      <w:marTop w:val="0"/>
      <w:marBottom w:val="0"/>
      <w:divBdr>
        <w:top w:val="none" w:sz="0" w:space="0" w:color="auto"/>
        <w:left w:val="none" w:sz="0" w:space="0" w:color="auto"/>
        <w:bottom w:val="none" w:sz="0" w:space="0" w:color="auto"/>
        <w:right w:val="none" w:sz="0" w:space="0" w:color="auto"/>
      </w:divBdr>
    </w:div>
    <w:div w:id="13368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isclosurescotl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9D5D-5879-48C9-B20D-25B64483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828</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Faulds</dc:creator>
  <cp:lastModifiedBy>U419181</cp:lastModifiedBy>
  <cp:revision>12</cp:revision>
  <cp:lastPrinted>2016-03-07T07:20:00Z</cp:lastPrinted>
  <dcterms:created xsi:type="dcterms:W3CDTF">2016-03-07T07:19:00Z</dcterms:created>
  <dcterms:modified xsi:type="dcterms:W3CDTF">2016-04-05T14:37:00Z</dcterms:modified>
</cp:coreProperties>
</file>