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D2" w:rsidRPr="001126E9" w:rsidRDefault="004F5CD2" w:rsidP="009A4CCD">
      <w:pPr>
        <w:rPr>
          <w:rFonts w:ascii="Century Gothic" w:hAnsi="Century Gothic"/>
          <w:b/>
          <w:color w:val="C00000"/>
          <w:sz w:val="22"/>
          <w:szCs w:val="25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>Introduction</w:t>
      </w:r>
    </w:p>
    <w:p w:rsidR="004F5CD2" w:rsidRPr="001126E9" w:rsidRDefault="004F5CD2" w:rsidP="009A4CCD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Within the NHSGGC Acute Division, it is recognised that our patients can experience high levels of stress &amp; distress. This can result in patients behaving in ways that staff may find challenging to manage and that can have a negative impact on the therapeutic relationship. One way that staff can promote the therapeutic relationship and keep the patient safe is by working with them on a 1 to 1 basis using Safe &amp; Supportive Enhanced Observations and Engagement (SSEOE). </w:t>
      </w:r>
    </w:p>
    <w:p w:rsidR="004F5CD2" w:rsidRDefault="004F5CD2" w:rsidP="009A4CCD">
      <w:pPr>
        <w:spacing w:after="240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The aim of this note is to inform staff</w:t>
      </w:r>
      <w:r>
        <w:rPr>
          <w:rFonts w:ascii="Century Gothic" w:hAnsi="Century Gothic"/>
          <w:sz w:val="20"/>
          <w:szCs w:val="21"/>
        </w:rPr>
        <w:t xml:space="preserve"> of their key</w:t>
      </w:r>
      <w:r w:rsidRPr="001126E9">
        <w:rPr>
          <w:rFonts w:ascii="Century Gothic" w:hAnsi="Century Gothic"/>
          <w:sz w:val="20"/>
          <w:szCs w:val="21"/>
        </w:rPr>
        <w:t xml:space="preserve"> responsibilities when using SSEOE. </w:t>
      </w:r>
    </w:p>
    <w:p w:rsidR="004F5CD2" w:rsidRDefault="004F5CD2" w:rsidP="009A4CCD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>What are the different levels of SSEOE?</w:t>
      </w:r>
    </w:p>
    <w:p w:rsidR="004F5CD2" w:rsidRPr="001126E9" w:rsidRDefault="004F5CD2" w:rsidP="009A4CCD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There are 2 main types of Enhanced Observations that can be used:</w:t>
      </w:r>
    </w:p>
    <w:p w:rsidR="004F5CD2" w:rsidRPr="001126E9" w:rsidRDefault="004F5CD2" w:rsidP="009A4CCD">
      <w:pPr>
        <w:numPr>
          <w:ilvl w:val="0"/>
          <w:numId w:val="21"/>
        </w:numPr>
        <w:tabs>
          <w:tab w:val="clear" w:pos="720"/>
        </w:tabs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Constant Observations: This level is used when the patients’ </w:t>
      </w:r>
      <w:r w:rsidRPr="001126E9">
        <w:rPr>
          <w:rFonts w:ascii="Century Gothic" w:hAnsi="Century Gothic"/>
          <w:b/>
          <w:sz w:val="20"/>
          <w:szCs w:val="21"/>
        </w:rPr>
        <w:t xml:space="preserve">exact </w:t>
      </w:r>
      <w:r w:rsidRPr="001126E9">
        <w:rPr>
          <w:rFonts w:ascii="Century Gothic" w:hAnsi="Century Gothic"/>
          <w:sz w:val="20"/>
          <w:szCs w:val="21"/>
        </w:rPr>
        <w:t xml:space="preserve">whereabouts need to be known </w:t>
      </w:r>
      <w:r w:rsidRPr="001126E9">
        <w:rPr>
          <w:rFonts w:ascii="Century Gothic" w:hAnsi="Century Gothic"/>
          <w:b/>
          <w:sz w:val="20"/>
          <w:szCs w:val="21"/>
        </w:rPr>
        <w:t xml:space="preserve">at all times. </w:t>
      </w:r>
      <w:r w:rsidRPr="001126E9">
        <w:rPr>
          <w:rFonts w:ascii="Century Gothic" w:hAnsi="Century Gothic"/>
          <w:sz w:val="20"/>
          <w:szCs w:val="21"/>
        </w:rPr>
        <w:t xml:space="preserve">An allocated nurse </w:t>
      </w:r>
      <w:r w:rsidRPr="001126E9">
        <w:rPr>
          <w:rFonts w:ascii="Century Gothic" w:hAnsi="Century Gothic"/>
          <w:b/>
          <w:sz w:val="20"/>
          <w:szCs w:val="21"/>
        </w:rPr>
        <w:t>must</w:t>
      </w:r>
      <w:r w:rsidRPr="001126E9">
        <w:rPr>
          <w:rFonts w:ascii="Century Gothic" w:hAnsi="Century Gothic"/>
          <w:sz w:val="20"/>
          <w:szCs w:val="21"/>
        </w:rPr>
        <w:t xml:space="preserve"> be constantly aware of the patient’s whereabouts. This means that the nurse must be able to see </w:t>
      </w:r>
      <w:r w:rsidRPr="001126E9">
        <w:rPr>
          <w:rFonts w:ascii="Century Gothic" w:hAnsi="Century Gothic"/>
          <w:b/>
          <w:sz w:val="20"/>
          <w:szCs w:val="21"/>
        </w:rPr>
        <w:t>and</w:t>
      </w:r>
      <w:r w:rsidRPr="001126E9">
        <w:rPr>
          <w:rFonts w:ascii="Century Gothic" w:hAnsi="Century Gothic"/>
          <w:sz w:val="20"/>
          <w:szCs w:val="21"/>
        </w:rPr>
        <w:t xml:space="preserve"> hear the patient at all times. </w:t>
      </w:r>
      <w:r w:rsidRPr="001126E9">
        <w:rPr>
          <w:rFonts w:ascii="Century Gothic" w:hAnsi="Century Gothic"/>
          <w:sz w:val="20"/>
          <w:szCs w:val="21"/>
        </w:rPr>
        <w:br/>
      </w:r>
      <w:r w:rsidRPr="001126E9">
        <w:rPr>
          <w:rFonts w:ascii="Century Gothic" w:hAnsi="Century Gothic"/>
          <w:b/>
          <w:sz w:val="20"/>
          <w:szCs w:val="21"/>
        </w:rPr>
        <w:t xml:space="preserve">NB: </w:t>
      </w:r>
      <w:r w:rsidRPr="001126E9">
        <w:rPr>
          <w:rFonts w:ascii="Century Gothic" w:hAnsi="Century Gothic"/>
          <w:sz w:val="20"/>
          <w:szCs w:val="21"/>
        </w:rPr>
        <w:t>sound only observations may be appropriate in some instances. These instances must be clearly reviewed and documented by the MDT including senior medical staff.</w:t>
      </w:r>
    </w:p>
    <w:p w:rsidR="004F5CD2" w:rsidRPr="001126E9" w:rsidRDefault="004F5CD2" w:rsidP="009A4CCD">
      <w:pPr>
        <w:numPr>
          <w:ilvl w:val="0"/>
          <w:numId w:val="21"/>
        </w:numPr>
        <w:tabs>
          <w:tab w:val="clear" w:pos="720"/>
        </w:tabs>
        <w:ind w:left="567" w:hanging="283"/>
        <w:rPr>
          <w:rFonts w:ascii="Century Gothic" w:hAnsi="Century Gothic"/>
          <w:b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Special Observations: This level of observation is used where there is a need for staff to be </w:t>
      </w:r>
      <w:r w:rsidRPr="001126E9">
        <w:rPr>
          <w:rFonts w:ascii="Century Gothic" w:hAnsi="Century Gothic"/>
          <w:b/>
          <w:sz w:val="20"/>
          <w:szCs w:val="21"/>
        </w:rPr>
        <w:t xml:space="preserve">within one arm’s length of the patient and within sight &amp; sound at all times.  </w:t>
      </w:r>
    </w:p>
    <w:p w:rsidR="004F5CD2" w:rsidRPr="001126E9" w:rsidRDefault="004F5CD2" w:rsidP="009A4CCD">
      <w:pPr>
        <w:spacing w:after="240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It is recognised that SSEOE goes beyond the level of General Observations which are applied to all patients on admission. Therefore, the decision to use any enhanced level of observations </w:t>
      </w:r>
      <w:r w:rsidRPr="001126E9">
        <w:rPr>
          <w:rFonts w:ascii="Century Gothic" w:hAnsi="Century Gothic"/>
          <w:b/>
          <w:sz w:val="20"/>
          <w:szCs w:val="21"/>
        </w:rPr>
        <w:t xml:space="preserve">must </w:t>
      </w:r>
      <w:r w:rsidRPr="001126E9">
        <w:rPr>
          <w:rFonts w:ascii="Century Gothic" w:hAnsi="Century Gothic"/>
          <w:sz w:val="20"/>
          <w:szCs w:val="21"/>
        </w:rPr>
        <w:t>be based on the risk of the behaviour manifesting itself as well as the risk this poses to the patient, the staff and others in the immediate environment.</w:t>
      </w:r>
    </w:p>
    <w:p w:rsidR="004F5CD2" w:rsidRPr="001126E9" w:rsidRDefault="004F5CD2" w:rsidP="009A4CCD">
      <w:pPr>
        <w:rPr>
          <w:rFonts w:ascii="Century Gothic" w:hAnsi="Century Gothic"/>
          <w:b/>
          <w:color w:val="C00000"/>
          <w:sz w:val="22"/>
          <w:szCs w:val="25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>Behaviours associated with the need for SSEOE</w:t>
      </w:r>
    </w:p>
    <w:p w:rsidR="004F5CD2" w:rsidRDefault="004F5CD2" w:rsidP="009A4CCD">
      <w:pPr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>The following are</w:t>
      </w:r>
      <w:r w:rsidRPr="001126E9">
        <w:rPr>
          <w:rFonts w:ascii="Century Gothic" w:hAnsi="Century Gothic"/>
          <w:sz w:val="20"/>
          <w:szCs w:val="21"/>
        </w:rPr>
        <w:t xml:space="preserve"> examples of behaviours and conditions associated with the poten</w:t>
      </w:r>
      <w:r>
        <w:rPr>
          <w:rFonts w:ascii="Century Gothic" w:hAnsi="Century Gothic"/>
          <w:sz w:val="20"/>
          <w:szCs w:val="21"/>
        </w:rPr>
        <w:t>tial need for SSEOE in the Acute Division of</w:t>
      </w:r>
      <w:r w:rsidRPr="001126E9">
        <w:rPr>
          <w:rFonts w:ascii="Century Gothic" w:hAnsi="Century Gothic"/>
          <w:sz w:val="20"/>
          <w:szCs w:val="21"/>
        </w:rPr>
        <w:t xml:space="preserve"> NHSGGC:</w:t>
      </w:r>
    </w:p>
    <w:p w:rsidR="004F5CD2" w:rsidRPr="001126E9" w:rsidRDefault="004F5CD2" w:rsidP="00C33292">
      <w:pPr>
        <w:spacing w:after="60"/>
        <w:rPr>
          <w:rFonts w:ascii="Century Gothic" w:hAnsi="Century Gothic"/>
          <w:sz w:val="20"/>
          <w:szCs w:val="21"/>
        </w:rPr>
      </w:pPr>
    </w:p>
    <w:tbl>
      <w:tblPr>
        <w:tblW w:w="0" w:type="auto"/>
        <w:tblInd w:w="108" w:type="dxa"/>
        <w:tblLook w:val="00A0"/>
      </w:tblPr>
      <w:tblGrid>
        <w:gridCol w:w="1843"/>
        <w:gridCol w:w="2730"/>
      </w:tblGrid>
      <w:tr w:rsidR="004F5CD2" w:rsidTr="00535E7A">
        <w:tc>
          <w:tcPr>
            <w:tcW w:w="1843" w:type="dxa"/>
          </w:tcPr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jc w:val="left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lastRenderedPageBreak/>
              <w:t>Violence &amp; Aggression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Absconding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Self harm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Dementia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Delirium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Mental Illness</w:t>
            </w:r>
          </w:p>
        </w:tc>
        <w:tc>
          <w:tcPr>
            <w:tcW w:w="2730" w:type="dxa"/>
          </w:tcPr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jc w:val="left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Learning Disabilities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jc w:val="left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Brain Injuries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jc w:val="left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Intoxication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60"/>
              <w:ind w:left="176" w:hanging="142"/>
              <w:jc w:val="left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 xml:space="preserve">Falls risks </w:t>
            </w:r>
          </w:p>
          <w:p w:rsidR="004F5CD2" w:rsidRPr="00535E7A" w:rsidRDefault="004F5CD2" w:rsidP="00535E7A">
            <w:pPr>
              <w:numPr>
                <w:ilvl w:val="0"/>
                <w:numId w:val="20"/>
              </w:numPr>
              <w:spacing w:after="240"/>
              <w:ind w:left="176" w:hanging="142"/>
              <w:jc w:val="left"/>
              <w:rPr>
                <w:rFonts w:ascii="Century Gothic" w:hAnsi="Century Gothic"/>
                <w:sz w:val="20"/>
                <w:szCs w:val="21"/>
              </w:rPr>
            </w:pPr>
            <w:r w:rsidRPr="00535E7A">
              <w:rPr>
                <w:rFonts w:ascii="Century Gothic" w:hAnsi="Century Gothic"/>
                <w:sz w:val="20"/>
                <w:szCs w:val="21"/>
              </w:rPr>
              <w:t>Increased &amp; enduring confused/ agitated state</w:t>
            </w:r>
          </w:p>
        </w:tc>
      </w:tr>
    </w:tbl>
    <w:p w:rsidR="004F5CD2" w:rsidRPr="001126E9" w:rsidRDefault="004F5CD2" w:rsidP="009A4CCD">
      <w:pPr>
        <w:spacing w:before="120"/>
        <w:rPr>
          <w:rFonts w:ascii="Century Gothic" w:hAnsi="Century Gothic"/>
          <w:b/>
          <w:color w:val="C00000"/>
          <w:sz w:val="22"/>
          <w:szCs w:val="25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 xml:space="preserve">Essential Principles of SSEOE </w:t>
      </w:r>
    </w:p>
    <w:p w:rsidR="004F5CD2" w:rsidRPr="001126E9" w:rsidRDefault="004F5CD2" w:rsidP="001126E9">
      <w:pPr>
        <w:spacing w:after="60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All patients being cared for through the use of SSEOE must: </w:t>
      </w:r>
    </w:p>
    <w:p w:rsidR="004F5CD2" w:rsidRPr="001126E9" w:rsidRDefault="004F5CD2" w:rsidP="001126E9">
      <w:pPr>
        <w:numPr>
          <w:ilvl w:val="0"/>
          <w:numId w:val="22"/>
        </w:numPr>
        <w:tabs>
          <w:tab w:val="clear" w:pos="720"/>
        </w:tabs>
        <w:spacing w:after="60"/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Be kept safe and protected from physical &amp; psychological harm</w:t>
      </w:r>
    </w:p>
    <w:p w:rsidR="004F5CD2" w:rsidRPr="001126E9" w:rsidRDefault="004F5CD2" w:rsidP="001126E9">
      <w:pPr>
        <w:numPr>
          <w:ilvl w:val="0"/>
          <w:numId w:val="22"/>
        </w:numPr>
        <w:tabs>
          <w:tab w:val="clear" w:pos="720"/>
        </w:tabs>
        <w:spacing w:after="60"/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Have their dignity respected and be treated as individuals</w:t>
      </w:r>
    </w:p>
    <w:p w:rsidR="004F5CD2" w:rsidRPr="001126E9" w:rsidRDefault="004F5CD2" w:rsidP="001126E9">
      <w:pPr>
        <w:numPr>
          <w:ilvl w:val="0"/>
          <w:numId w:val="22"/>
        </w:numPr>
        <w:tabs>
          <w:tab w:val="clear" w:pos="720"/>
        </w:tabs>
        <w:spacing w:after="60"/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Receive care in the least restrictive environment possible.</w:t>
      </w:r>
    </w:p>
    <w:p w:rsidR="004F5CD2" w:rsidRPr="001126E9" w:rsidRDefault="004F5CD2" w:rsidP="001126E9">
      <w:pPr>
        <w:numPr>
          <w:ilvl w:val="0"/>
          <w:numId w:val="22"/>
        </w:numPr>
        <w:tabs>
          <w:tab w:val="clear" w:pos="720"/>
        </w:tabs>
        <w:spacing w:after="60"/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Where appropriate, have their patient/carer/named person/next of kin informed.</w:t>
      </w:r>
    </w:p>
    <w:p w:rsidR="004F5CD2" w:rsidRPr="001126E9" w:rsidRDefault="004F5CD2" w:rsidP="001126E9">
      <w:pPr>
        <w:numPr>
          <w:ilvl w:val="0"/>
          <w:numId w:val="22"/>
        </w:numPr>
        <w:tabs>
          <w:tab w:val="clear" w:pos="720"/>
        </w:tabs>
        <w:spacing w:after="60"/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Be involved as much as is possible and appropriate in therapeutic activities taking place within the area or as part of their care plan</w:t>
      </w:r>
    </w:p>
    <w:p w:rsidR="004F5CD2" w:rsidRPr="001126E9" w:rsidRDefault="004F5CD2" w:rsidP="009A4CCD">
      <w:pPr>
        <w:numPr>
          <w:ilvl w:val="0"/>
          <w:numId w:val="22"/>
        </w:numPr>
        <w:tabs>
          <w:tab w:val="clear" w:pos="720"/>
        </w:tabs>
        <w:spacing w:after="240"/>
        <w:ind w:left="568" w:hanging="284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Receive a multi-disciplinary approach to care</w:t>
      </w:r>
    </w:p>
    <w:p w:rsidR="004F5CD2" w:rsidRPr="001126E9" w:rsidRDefault="004F5CD2" w:rsidP="00B6186E">
      <w:pPr>
        <w:spacing w:before="240"/>
        <w:rPr>
          <w:rFonts w:ascii="Century Gothic" w:hAnsi="Century Gothic"/>
          <w:b/>
          <w:color w:val="C00000"/>
          <w:sz w:val="22"/>
          <w:szCs w:val="25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>Legal Considerations</w:t>
      </w:r>
    </w:p>
    <w:p w:rsidR="004F5CD2" w:rsidRPr="001126E9" w:rsidRDefault="004F5CD2" w:rsidP="001126E9">
      <w:pPr>
        <w:spacing w:after="60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Whilst SSEOE are designed to be as therapeutic as possible, it also acts as a restrictive intervention. T</w:t>
      </w:r>
      <w:r>
        <w:rPr>
          <w:rFonts w:ascii="Century Gothic" w:hAnsi="Century Gothic"/>
          <w:sz w:val="20"/>
          <w:szCs w:val="21"/>
        </w:rPr>
        <w:t>he use of SSEOE</w:t>
      </w:r>
      <w:r w:rsidRPr="001126E9">
        <w:rPr>
          <w:rFonts w:ascii="Century Gothic" w:hAnsi="Century Gothic"/>
          <w:sz w:val="20"/>
          <w:szCs w:val="21"/>
        </w:rPr>
        <w:t xml:space="preserve"> </w:t>
      </w:r>
      <w:r w:rsidRPr="001126E9">
        <w:rPr>
          <w:rFonts w:ascii="Century Gothic" w:hAnsi="Century Gothic"/>
          <w:b/>
          <w:sz w:val="20"/>
          <w:szCs w:val="21"/>
        </w:rPr>
        <w:t xml:space="preserve">must </w:t>
      </w:r>
      <w:r>
        <w:rPr>
          <w:rFonts w:ascii="Century Gothic" w:hAnsi="Century Gothic"/>
          <w:sz w:val="20"/>
          <w:szCs w:val="21"/>
        </w:rPr>
        <w:t>be justified &amp; accounted for. The least restrictive option must be used</w:t>
      </w:r>
      <w:r w:rsidRPr="001126E9">
        <w:rPr>
          <w:rFonts w:ascii="Century Gothic" w:hAnsi="Century Gothic"/>
          <w:sz w:val="20"/>
          <w:szCs w:val="21"/>
        </w:rPr>
        <w:t>. The following legislation and legal frameworks are most commonly associated with SSEOE:</w:t>
      </w:r>
    </w:p>
    <w:p w:rsidR="004F5CD2" w:rsidRPr="001126E9" w:rsidRDefault="004F5CD2" w:rsidP="001126E9">
      <w:pPr>
        <w:numPr>
          <w:ilvl w:val="0"/>
          <w:numId w:val="23"/>
        </w:numPr>
        <w:tabs>
          <w:tab w:val="clear" w:pos="720"/>
        </w:tabs>
        <w:spacing w:after="60"/>
        <w:ind w:left="426" w:hanging="284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b/>
          <w:sz w:val="20"/>
          <w:szCs w:val="21"/>
        </w:rPr>
        <w:t>Common Law/Duty of Care – the principle of necessity</w:t>
      </w:r>
      <w:r w:rsidRPr="001126E9">
        <w:rPr>
          <w:rFonts w:ascii="Century Gothic" w:hAnsi="Century Gothic"/>
          <w:sz w:val="20"/>
          <w:szCs w:val="21"/>
        </w:rPr>
        <w:t>: It is reasonable in an emergency for any member of staff to take action to safeguard a person. However, any decision to use SSEOE through common law/duty of care must be immediately reviewed from relevant medical staff</w:t>
      </w:r>
      <w:r>
        <w:rPr>
          <w:rFonts w:ascii="Century Gothic" w:hAnsi="Century Gothic"/>
          <w:sz w:val="20"/>
          <w:szCs w:val="21"/>
        </w:rPr>
        <w:t>.</w:t>
      </w:r>
    </w:p>
    <w:p w:rsidR="004F5CD2" w:rsidRPr="001126E9" w:rsidRDefault="004F5CD2" w:rsidP="001126E9">
      <w:pPr>
        <w:numPr>
          <w:ilvl w:val="0"/>
          <w:numId w:val="23"/>
        </w:numPr>
        <w:tabs>
          <w:tab w:val="clear" w:pos="720"/>
        </w:tabs>
        <w:spacing w:after="60"/>
        <w:ind w:left="426" w:hanging="284"/>
        <w:rPr>
          <w:rFonts w:ascii="Century Gothic" w:hAnsi="Century Gothic"/>
          <w:b/>
          <w:sz w:val="20"/>
          <w:szCs w:val="21"/>
        </w:rPr>
      </w:pPr>
      <w:r w:rsidRPr="001126E9">
        <w:rPr>
          <w:rFonts w:ascii="Century Gothic" w:hAnsi="Century Gothic"/>
          <w:b/>
          <w:sz w:val="20"/>
          <w:szCs w:val="21"/>
        </w:rPr>
        <w:t>the Human Rights Act 1998</w:t>
      </w:r>
    </w:p>
    <w:p w:rsidR="004F5CD2" w:rsidRDefault="004F5CD2" w:rsidP="00D07D4F">
      <w:pPr>
        <w:numPr>
          <w:ilvl w:val="0"/>
          <w:numId w:val="23"/>
        </w:numPr>
        <w:tabs>
          <w:tab w:val="clear" w:pos="720"/>
        </w:tabs>
        <w:spacing w:after="60"/>
        <w:ind w:left="426" w:hanging="284"/>
        <w:jc w:val="left"/>
        <w:rPr>
          <w:rFonts w:ascii="Century Gothic" w:hAnsi="Century Gothic"/>
          <w:b/>
          <w:sz w:val="20"/>
          <w:szCs w:val="21"/>
        </w:rPr>
      </w:pPr>
      <w:r w:rsidRPr="001126E9">
        <w:rPr>
          <w:rFonts w:ascii="Century Gothic" w:hAnsi="Century Gothic"/>
          <w:b/>
          <w:sz w:val="20"/>
          <w:szCs w:val="21"/>
        </w:rPr>
        <w:t>The Adult’s with Incapacity (</w:t>
      </w:r>
      <w:smartTag w:uri="urn:schemas-microsoft-com:office:smarttags" w:element="country-region">
        <w:smartTag w:uri="urn:schemas-microsoft-com:office:smarttags" w:element="place">
          <w:r w:rsidRPr="001126E9">
            <w:rPr>
              <w:rFonts w:ascii="Century Gothic" w:hAnsi="Century Gothic"/>
              <w:b/>
              <w:sz w:val="20"/>
              <w:szCs w:val="21"/>
            </w:rPr>
            <w:t>Scotland</w:t>
          </w:r>
        </w:smartTag>
      </w:smartTag>
      <w:r w:rsidRPr="001126E9">
        <w:rPr>
          <w:rFonts w:ascii="Century Gothic" w:hAnsi="Century Gothic"/>
          <w:b/>
          <w:sz w:val="20"/>
          <w:szCs w:val="21"/>
        </w:rPr>
        <w:t>) Act 2000</w:t>
      </w:r>
    </w:p>
    <w:p w:rsidR="004F5CD2" w:rsidRPr="00D07D4F" w:rsidRDefault="004F5CD2" w:rsidP="00D07D4F">
      <w:pPr>
        <w:numPr>
          <w:ilvl w:val="0"/>
          <w:numId w:val="23"/>
        </w:numPr>
        <w:tabs>
          <w:tab w:val="clear" w:pos="720"/>
        </w:tabs>
        <w:spacing w:after="60"/>
        <w:ind w:left="426" w:hanging="284"/>
        <w:jc w:val="left"/>
        <w:rPr>
          <w:rFonts w:ascii="Century Gothic" w:hAnsi="Century Gothic"/>
          <w:b/>
          <w:sz w:val="20"/>
          <w:szCs w:val="21"/>
        </w:rPr>
      </w:pPr>
      <w:r w:rsidRPr="00D07D4F">
        <w:rPr>
          <w:rFonts w:ascii="Century Gothic" w:hAnsi="Century Gothic"/>
          <w:b/>
          <w:sz w:val="20"/>
          <w:szCs w:val="21"/>
        </w:rPr>
        <w:t>Mental Health (Care &amp; Treatment) (</w:t>
      </w:r>
      <w:smartTag w:uri="urn:schemas-microsoft-com:office:smarttags" w:element="country-region">
        <w:smartTag w:uri="urn:schemas-microsoft-com:office:smarttags" w:element="place">
          <w:r w:rsidRPr="00D07D4F">
            <w:rPr>
              <w:rFonts w:ascii="Century Gothic" w:hAnsi="Century Gothic"/>
              <w:b/>
              <w:sz w:val="20"/>
              <w:szCs w:val="21"/>
            </w:rPr>
            <w:t>Scotland</w:t>
          </w:r>
        </w:smartTag>
      </w:smartTag>
      <w:r w:rsidRPr="00D07D4F">
        <w:rPr>
          <w:rFonts w:ascii="Century Gothic" w:hAnsi="Century Gothic"/>
          <w:b/>
          <w:sz w:val="20"/>
          <w:szCs w:val="21"/>
        </w:rPr>
        <w:t>) Act 2003.</w:t>
      </w:r>
      <w:r w:rsidRPr="00D07D4F">
        <w:rPr>
          <w:rFonts w:ascii="Century Gothic" w:hAnsi="Century Gothic"/>
          <w:sz w:val="20"/>
          <w:szCs w:val="21"/>
        </w:rPr>
        <w:t xml:space="preserve"> </w:t>
      </w:r>
    </w:p>
    <w:p w:rsidR="004F5CD2" w:rsidRDefault="004F5CD2" w:rsidP="00D07D4F">
      <w:pPr>
        <w:rPr>
          <w:rFonts w:ascii="Century Gothic" w:hAnsi="Century Gothic"/>
          <w:sz w:val="20"/>
          <w:szCs w:val="21"/>
        </w:rPr>
      </w:pPr>
      <w:r w:rsidRPr="00D07D4F">
        <w:rPr>
          <w:rFonts w:ascii="Century Gothic" w:hAnsi="Century Gothic"/>
          <w:b/>
          <w:sz w:val="20"/>
          <w:szCs w:val="21"/>
        </w:rPr>
        <w:lastRenderedPageBreak/>
        <w:t xml:space="preserve">NB </w:t>
      </w:r>
      <w:r w:rsidRPr="00D07D4F">
        <w:rPr>
          <w:rFonts w:ascii="Century Gothic" w:hAnsi="Century Gothic"/>
          <w:sz w:val="20"/>
          <w:szCs w:val="21"/>
        </w:rPr>
        <w:t>Only RMN</w:t>
      </w:r>
      <w:r w:rsidR="00F17A68">
        <w:rPr>
          <w:rFonts w:ascii="Century Gothic" w:hAnsi="Century Gothic"/>
          <w:sz w:val="20"/>
          <w:szCs w:val="21"/>
        </w:rPr>
        <w:t>s or Learning Disability Nurses</w:t>
      </w:r>
      <w:r w:rsidRPr="00D07D4F">
        <w:rPr>
          <w:rFonts w:ascii="Century Gothic" w:hAnsi="Century Gothic"/>
          <w:sz w:val="20"/>
          <w:szCs w:val="21"/>
        </w:rPr>
        <w:t xml:space="preserve"> can make use </w:t>
      </w:r>
      <w:r w:rsidRPr="004F02F9">
        <w:rPr>
          <w:rFonts w:ascii="Century Gothic" w:hAnsi="Century Gothic"/>
          <w:sz w:val="20"/>
          <w:szCs w:val="21"/>
        </w:rPr>
        <w:t>of Section 299 of the Mental Health Act:</w:t>
      </w:r>
      <w:r w:rsidRPr="00D07D4F">
        <w:rPr>
          <w:rFonts w:ascii="Century Gothic" w:hAnsi="Century Gothic"/>
          <w:sz w:val="20"/>
          <w:szCs w:val="21"/>
        </w:rPr>
        <w:t xml:space="preserve"> ‘Nurse’s Power to Detain’ and they can only do </w:t>
      </w:r>
      <w:r w:rsidR="00F17A68">
        <w:rPr>
          <w:rFonts w:ascii="Century Gothic" w:hAnsi="Century Gothic"/>
          <w:sz w:val="20"/>
          <w:szCs w:val="21"/>
        </w:rPr>
        <w:t>so within mental health hospitals</w:t>
      </w:r>
      <w:r w:rsidRPr="00D07D4F">
        <w:rPr>
          <w:rFonts w:ascii="Century Gothic" w:hAnsi="Century Gothic"/>
          <w:sz w:val="20"/>
          <w:szCs w:val="21"/>
        </w:rPr>
        <w:t xml:space="preserve">. There is no </w:t>
      </w:r>
      <w:r w:rsidRPr="00D07D4F">
        <w:rPr>
          <w:rFonts w:ascii="Century Gothic" w:hAnsi="Century Gothic"/>
          <w:b/>
          <w:sz w:val="20"/>
          <w:szCs w:val="21"/>
        </w:rPr>
        <w:t>Legal</w:t>
      </w:r>
      <w:r w:rsidRPr="00D07D4F">
        <w:rPr>
          <w:rFonts w:ascii="Century Gothic" w:hAnsi="Century Gothic"/>
          <w:sz w:val="20"/>
          <w:szCs w:val="21"/>
        </w:rPr>
        <w:t xml:space="preserve"> requirement for SSEOE to be carried out by an RMN, even if the patient is detained</w:t>
      </w:r>
      <w:r>
        <w:rPr>
          <w:rFonts w:ascii="Century Gothic" w:hAnsi="Century Gothic"/>
          <w:sz w:val="20"/>
          <w:szCs w:val="21"/>
        </w:rPr>
        <w:t xml:space="preserve"> under the Mental Health Act. T</w:t>
      </w:r>
      <w:r w:rsidRPr="00D07D4F">
        <w:rPr>
          <w:rFonts w:ascii="Century Gothic" w:hAnsi="Century Gothic"/>
          <w:sz w:val="20"/>
          <w:szCs w:val="21"/>
        </w:rPr>
        <w:t xml:space="preserve">reatments warranted by sections of the act, for example, prescribed medications, can be administered by RGNs. </w:t>
      </w:r>
      <w:r>
        <w:rPr>
          <w:rFonts w:ascii="Century Gothic" w:hAnsi="Century Gothic"/>
          <w:sz w:val="20"/>
          <w:szCs w:val="21"/>
        </w:rPr>
        <w:t xml:space="preserve"> </w:t>
      </w:r>
    </w:p>
    <w:p w:rsidR="004F5CD2" w:rsidRPr="00D07D4F" w:rsidRDefault="004F5CD2" w:rsidP="00D07D4F">
      <w:pPr>
        <w:rPr>
          <w:rFonts w:ascii="Century Gothic" w:hAnsi="Century Gothic"/>
          <w:b/>
          <w:sz w:val="20"/>
          <w:szCs w:val="21"/>
        </w:rPr>
      </w:pPr>
      <w:r w:rsidRPr="00AC7248">
        <w:rPr>
          <w:rFonts w:ascii="Century Gothic" w:hAnsi="Century Gothic"/>
          <w:sz w:val="20"/>
          <w:szCs w:val="21"/>
        </w:rPr>
        <w:t>Staff</w:t>
      </w:r>
      <w:r>
        <w:rPr>
          <w:rFonts w:ascii="Century Gothic" w:hAnsi="Century Gothic"/>
          <w:sz w:val="20"/>
          <w:szCs w:val="21"/>
        </w:rPr>
        <w:t xml:space="preserve"> must use</w:t>
      </w:r>
      <w:r w:rsidRPr="004F02F9">
        <w:rPr>
          <w:rFonts w:ascii="Century Gothic" w:hAnsi="Century Gothic"/>
          <w:sz w:val="20"/>
          <w:szCs w:val="21"/>
        </w:rPr>
        <w:t xml:space="preserve"> the Common Law principle</w:t>
      </w:r>
      <w:r>
        <w:rPr>
          <w:rFonts w:ascii="Century Gothic" w:hAnsi="Century Gothic"/>
          <w:sz w:val="20"/>
          <w:szCs w:val="21"/>
        </w:rPr>
        <w:t xml:space="preserve"> for SSEOE if</w:t>
      </w:r>
      <w:r w:rsidRPr="004F02F9">
        <w:rPr>
          <w:rFonts w:ascii="Century Gothic" w:hAnsi="Century Gothic"/>
          <w:sz w:val="20"/>
          <w:szCs w:val="21"/>
        </w:rPr>
        <w:t xml:space="preserve"> immediate/emergency action is required</w:t>
      </w:r>
      <w:r>
        <w:rPr>
          <w:rFonts w:ascii="Century Gothic" w:hAnsi="Century Gothic"/>
          <w:sz w:val="20"/>
          <w:szCs w:val="21"/>
        </w:rPr>
        <w:t xml:space="preserve"> and no authority from other legislation is in place.</w:t>
      </w:r>
    </w:p>
    <w:p w:rsidR="004F5CD2" w:rsidRPr="00BC76F7" w:rsidRDefault="004F5CD2" w:rsidP="009A4CCD">
      <w:pPr>
        <w:spacing w:after="240"/>
        <w:rPr>
          <w:rFonts w:ascii="Century Gothic" w:hAnsi="Century Gothic"/>
          <w:sz w:val="20"/>
          <w:szCs w:val="21"/>
        </w:rPr>
      </w:pPr>
      <w:r w:rsidRPr="00BC76F7">
        <w:rPr>
          <w:rFonts w:ascii="Century Gothic" w:hAnsi="Century Gothic"/>
          <w:sz w:val="20"/>
          <w:szCs w:val="21"/>
        </w:rPr>
        <w:t xml:space="preserve">For further information please refer to NHSGGC Restraint Policy &amp; Associated guidelines </w:t>
      </w:r>
      <w:r w:rsidR="00F70A70">
        <w:rPr>
          <w:rFonts w:ascii="Century Gothic" w:hAnsi="Century Gothic"/>
          <w:sz w:val="20"/>
          <w:szCs w:val="21"/>
        </w:rPr>
        <w:t xml:space="preserve">                                   </w:t>
      </w:r>
      <w:r w:rsidR="00F70A70" w:rsidRPr="00541E44">
        <w:rPr>
          <w:rFonts w:ascii="Century Gothic" w:hAnsi="Century Gothic"/>
          <w:sz w:val="20"/>
          <w:szCs w:val="21"/>
        </w:rP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7" o:title=""/>
          </v:shape>
          <o:OLEObject Type="Embed" ProgID="AcroExch.Document.11" ShapeID="_x0000_i1025" DrawAspect="Icon" ObjectID="_1567234271" r:id="rId8"/>
        </w:object>
      </w:r>
      <w:r w:rsidRPr="00BC76F7">
        <w:rPr>
          <w:rFonts w:ascii="Century Gothic" w:hAnsi="Century Gothic"/>
          <w:sz w:val="20"/>
          <w:szCs w:val="21"/>
        </w:rPr>
        <w:t xml:space="preserve"> </w:t>
      </w:r>
    </w:p>
    <w:p w:rsidR="004F5CD2" w:rsidRPr="001126E9" w:rsidRDefault="004F5CD2" w:rsidP="009A4CCD">
      <w:pPr>
        <w:spacing w:before="120"/>
        <w:rPr>
          <w:rFonts w:ascii="Century Gothic" w:hAnsi="Century Gothic"/>
          <w:color w:val="C00000"/>
          <w:sz w:val="18"/>
          <w:szCs w:val="21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>Responsibilities of Staff</w: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Any decision to increase or decrease the levels of SSEOE for a patient must be based on the risk factors involved.</w:t>
      </w:r>
    </w:p>
    <w:p w:rsidR="004F5CD2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Staff </w:t>
      </w:r>
      <w:r w:rsidRPr="001126E9">
        <w:rPr>
          <w:rFonts w:ascii="Century Gothic" w:hAnsi="Century Gothic"/>
          <w:b/>
          <w:sz w:val="20"/>
          <w:szCs w:val="21"/>
        </w:rPr>
        <w:t xml:space="preserve">must </w:t>
      </w:r>
      <w:r w:rsidRPr="001126E9">
        <w:rPr>
          <w:rFonts w:ascii="Century Gothic" w:hAnsi="Century Gothic"/>
          <w:sz w:val="20"/>
          <w:szCs w:val="21"/>
        </w:rPr>
        <w:t xml:space="preserve">complete the ‘Enhanced Observation Notification for Patients Displaying </w:t>
      </w:r>
      <w:r w:rsidR="00F70A70">
        <w:rPr>
          <w:rFonts w:ascii="Century Gothic" w:hAnsi="Century Gothic"/>
          <w:sz w:val="20"/>
          <w:szCs w:val="21"/>
        </w:rPr>
        <w:t>Challenging Behaviour’ document.</w:t>
      </w:r>
    </w:p>
    <w:bookmarkStart w:id="0" w:name="_MON_1560332328"/>
    <w:bookmarkEnd w:id="0"/>
    <w:p w:rsidR="00F70A70" w:rsidRPr="001126E9" w:rsidRDefault="00F70A70" w:rsidP="00D07D4F">
      <w:pPr>
        <w:rPr>
          <w:rFonts w:ascii="Century Gothic" w:hAnsi="Century Gothic"/>
          <w:sz w:val="20"/>
          <w:szCs w:val="21"/>
        </w:rPr>
      </w:pPr>
      <w:r w:rsidRPr="00541E44">
        <w:rPr>
          <w:rFonts w:ascii="Century Gothic" w:hAnsi="Century Gothic"/>
          <w:sz w:val="20"/>
          <w:szCs w:val="21"/>
        </w:rPr>
        <w:object w:dxaOrig="1530" w:dyaOrig="1002">
          <v:shape id="_x0000_i1026" type="#_x0000_t75" style="width:76.5pt;height:50.25pt" o:ole="">
            <v:imagedata r:id="rId9" o:title=""/>
          </v:shape>
          <o:OLEObject Type="Embed" ProgID="Word.Document.8" ShapeID="_x0000_i1026" DrawAspect="Icon" ObjectID="_1567234272" r:id="rId10">
            <o:FieldCodes>\s</o:FieldCodes>
          </o:OLEObject>
        </w:objec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 xml:space="preserve">Considerations around the </w:t>
      </w:r>
      <w:r w:rsidRPr="001126E9">
        <w:rPr>
          <w:rFonts w:ascii="Century Gothic" w:hAnsi="Century Gothic"/>
          <w:b/>
          <w:sz w:val="20"/>
          <w:szCs w:val="21"/>
        </w:rPr>
        <w:t xml:space="preserve">Clinical </w:t>
      </w:r>
      <w:r w:rsidRPr="001126E9">
        <w:rPr>
          <w:rFonts w:ascii="Century Gothic" w:hAnsi="Century Gothic"/>
          <w:sz w:val="20"/>
          <w:szCs w:val="21"/>
        </w:rPr>
        <w:t xml:space="preserve">need for mental health nursing support must be </w:t>
      </w:r>
      <w:proofErr w:type="spellStart"/>
      <w:r w:rsidRPr="001126E9">
        <w:rPr>
          <w:rFonts w:ascii="Century Gothic" w:hAnsi="Century Gothic"/>
          <w:sz w:val="20"/>
          <w:szCs w:val="21"/>
        </w:rPr>
        <w:t>assessed</w:t>
      </w:r>
      <w:proofErr w:type="spellEnd"/>
      <w:r w:rsidRPr="001126E9">
        <w:rPr>
          <w:rFonts w:ascii="Century Gothic" w:hAnsi="Century Gothic"/>
          <w:sz w:val="20"/>
          <w:szCs w:val="21"/>
        </w:rPr>
        <w:t xml:space="preserve"> via the MDT &amp; the</w:t>
      </w:r>
      <w:r>
        <w:rPr>
          <w:rFonts w:ascii="Century Gothic" w:hAnsi="Century Gothic"/>
          <w:sz w:val="20"/>
          <w:szCs w:val="21"/>
        </w:rPr>
        <w:t xml:space="preserve"> Psychiatric Liaison Service. A</w:t>
      </w:r>
      <w:r w:rsidRPr="001126E9">
        <w:rPr>
          <w:rFonts w:ascii="Century Gothic" w:hAnsi="Century Gothic"/>
          <w:sz w:val="20"/>
          <w:szCs w:val="21"/>
        </w:rPr>
        <w:t xml:space="preserve"> clear rationale for this need must be documented. Please refer to the Psychiatric Lia</w:t>
      </w:r>
      <w:r w:rsidR="00F17A68">
        <w:rPr>
          <w:rFonts w:ascii="Century Gothic" w:hAnsi="Century Gothic"/>
          <w:sz w:val="20"/>
          <w:szCs w:val="21"/>
        </w:rPr>
        <w:t>ison Service SBAR.</w:t>
      </w:r>
      <w:r w:rsidR="00F70A70">
        <w:rPr>
          <w:rFonts w:ascii="Century Gothic" w:hAnsi="Century Gothic"/>
          <w:sz w:val="20"/>
          <w:szCs w:val="21"/>
        </w:rPr>
        <w:t xml:space="preserve">                        </w:t>
      </w:r>
      <w:bookmarkStart w:id="1" w:name="_MON_1560332381"/>
      <w:bookmarkEnd w:id="1"/>
      <w:r w:rsidR="00F70A70" w:rsidRPr="00541E44">
        <w:rPr>
          <w:rFonts w:ascii="Century Gothic" w:hAnsi="Century Gothic"/>
          <w:sz w:val="20"/>
          <w:szCs w:val="21"/>
        </w:rPr>
        <w:object w:dxaOrig="1530" w:dyaOrig="1002">
          <v:shape id="_x0000_i1027" type="#_x0000_t75" style="width:76.5pt;height:50.25pt" o:ole="">
            <v:imagedata r:id="rId11" o:title=""/>
          </v:shape>
          <o:OLEObject Type="Embed" ProgID="Word.Document.8" ShapeID="_x0000_i1027" DrawAspect="Icon" ObjectID="_1567234273" r:id="rId12">
            <o:FieldCodes>\s</o:FieldCodes>
          </o:OLEObject>
        </w:objec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Decisions rega</w:t>
      </w:r>
      <w:r>
        <w:rPr>
          <w:rFonts w:ascii="Century Gothic" w:hAnsi="Century Gothic"/>
          <w:sz w:val="20"/>
          <w:szCs w:val="21"/>
        </w:rPr>
        <w:t>rding which level of SSEOE is to be used</w:t>
      </w:r>
      <w:r w:rsidRPr="001126E9">
        <w:rPr>
          <w:rFonts w:ascii="Century Gothic" w:hAnsi="Century Gothic"/>
          <w:sz w:val="20"/>
          <w:szCs w:val="21"/>
        </w:rPr>
        <w:t xml:space="preserve"> must be appropriately and accurately documented in th</w:t>
      </w:r>
      <w:r>
        <w:rPr>
          <w:rFonts w:ascii="Century Gothic" w:hAnsi="Century Gothic"/>
          <w:sz w:val="20"/>
          <w:szCs w:val="21"/>
        </w:rPr>
        <w:t>e patient’s notes. This must</w:t>
      </w:r>
      <w:r w:rsidRPr="001126E9">
        <w:rPr>
          <w:rFonts w:ascii="Century Gothic" w:hAnsi="Century Gothic"/>
          <w:sz w:val="20"/>
          <w:szCs w:val="21"/>
        </w:rPr>
        <w:t xml:space="preserve"> include a description of the risk, the rationale for the level of observations being applied, details of caring/therapeutic interventions and a plan for review. </w: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lastRenderedPageBreak/>
        <w:t>Senior Medical Staff and the MDT should decide which members (and in which circumstances) of the MDT can be res</w:t>
      </w:r>
      <w:bookmarkStart w:id="2" w:name="_GoBack"/>
      <w:bookmarkEnd w:id="2"/>
      <w:r w:rsidRPr="001126E9">
        <w:rPr>
          <w:rFonts w:ascii="Century Gothic" w:hAnsi="Century Gothic"/>
          <w:sz w:val="20"/>
          <w:szCs w:val="21"/>
        </w:rPr>
        <w:t>ponsible for reviewing and red</w:t>
      </w:r>
      <w:r>
        <w:rPr>
          <w:rFonts w:ascii="Century Gothic" w:hAnsi="Century Gothic"/>
          <w:sz w:val="20"/>
          <w:szCs w:val="21"/>
        </w:rPr>
        <w:t>ucing the level or SSEOE. This must</w:t>
      </w:r>
      <w:r w:rsidRPr="001126E9">
        <w:rPr>
          <w:rFonts w:ascii="Century Gothic" w:hAnsi="Century Gothic"/>
          <w:sz w:val="20"/>
          <w:szCs w:val="21"/>
        </w:rPr>
        <w:t xml:space="preserve"> be clearly documented in the patie</w:t>
      </w:r>
      <w:r>
        <w:rPr>
          <w:rFonts w:ascii="Century Gothic" w:hAnsi="Century Gothic"/>
          <w:sz w:val="20"/>
          <w:szCs w:val="21"/>
        </w:rPr>
        <w:t>nt’s notes &amp; care plan. This can</w:t>
      </w:r>
      <w:r w:rsidRPr="001126E9">
        <w:rPr>
          <w:rFonts w:ascii="Century Gothic" w:hAnsi="Century Gothic"/>
          <w:sz w:val="20"/>
          <w:szCs w:val="21"/>
        </w:rPr>
        <w:t xml:space="preserve"> allow for nursing staff to reduce the level of SSEOE when an enhanced level can no longer be justified.</w: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Nursing staff are capable of increasing the levels of observations if this is required. Any decision to do</w:t>
      </w:r>
      <w:r>
        <w:rPr>
          <w:rFonts w:ascii="Century Gothic" w:hAnsi="Century Gothic"/>
          <w:sz w:val="20"/>
          <w:szCs w:val="21"/>
        </w:rPr>
        <w:t xml:space="preserve"> so must be documented and appropriate changes be</w:t>
      </w:r>
      <w:r w:rsidRPr="001126E9">
        <w:rPr>
          <w:rFonts w:ascii="Century Gothic" w:hAnsi="Century Gothic"/>
          <w:sz w:val="20"/>
          <w:szCs w:val="21"/>
        </w:rPr>
        <w:t xml:space="preserve"> made to care plans</w: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The Nurse in Charge should ensure that there is suffici</w:t>
      </w:r>
      <w:r>
        <w:rPr>
          <w:rFonts w:ascii="Century Gothic" w:hAnsi="Century Gothic"/>
          <w:sz w:val="20"/>
          <w:szCs w:val="21"/>
        </w:rPr>
        <w:t>ent staff on duty to ensure needs of</w:t>
      </w:r>
      <w:r w:rsidRPr="001126E9">
        <w:rPr>
          <w:rFonts w:ascii="Century Gothic" w:hAnsi="Century Gothic"/>
          <w:sz w:val="20"/>
          <w:szCs w:val="21"/>
        </w:rPr>
        <w:t xml:space="preserve"> </w:t>
      </w:r>
      <w:r w:rsidRPr="001126E9">
        <w:rPr>
          <w:rFonts w:ascii="Century Gothic" w:hAnsi="Century Gothic"/>
          <w:b/>
          <w:sz w:val="20"/>
          <w:szCs w:val="21"/>
        </w:rPr>
        <w:t>all</w:t>
      </w:r>
      <w:r w:rsidRPr="001126E9">
        <w:rPr>
          <w:rFonts w:ascii="Century Gothic" w:hAnsi="Century Gothic"/>
          <w:sz w:val="20"/>
          <w:szCs w:val="21"/>
        </w:rPr>
        <w:t xml:space="preserve"> patients</w:t>
      </w:r>
      <w:r>
        <w:rPr>
          <w:rFonts w:ascii="Century Gothic" w:hAnsi="Century Gothic"/>
          <w:sz w:val="20"/>
          <w:szCs w:val="21"/>
        </w:rPr>
        <w:t xml:space="preserve"> are met</w:t>
      </w:r>
      <w:r w:rsidRPr="001126E9">
        <w:rPr>
          <w:rFonts w:ascii="Century Gothic" w:hAnsi="Century Gothic"/>
          <w:sz w:val="20"/>
          <w:szCs w:val="21"/>
        </w:rPr>
        <w:t>. (The nurse in charge should contact relevant on call manager if assistance is required)</w:t>
      </w:r>
    </w:p>
    <w:p w:rsidR="004F5CD2" w:rsidRPr="001126E9" w:rsidRDefault="004F5CD2" w:rsidP="00D07D4F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The staff undertaking SSEOE should:</w:t>
      </w:r>
    </w:p>
    <w:p w:rsidR="004F5CD2" w:rsidRPr="001126E9" w:rsidRDefault="004F5CD2" w:rsidP="00D07D4F">
      <w:pPr>
        <w:pStyle w:val="ListParagraph"/>
        <w:numPr>
          <w:ilvl w:val="0"/>
          <w:numId w:val="25"/>
        </w:numPr>
        <w:ind w:left="568" w:hanging="284"/>
        <w:contextualSpacing w:val="0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be rotated at least every 2 hours, ideally every hour</w:t>
      </w:r>
    </w:p>
    <w:p w:rsidR="004F5CD2" w:rsidRPr="001126E9" w:rsidRDefault="004F5CD2" w:rsidP="00D07D4F">
      <w:pPr>
        <w:pStyle w:val="ListParagraph"/>
        <w:numPr>
          <w:ilvl w:val="0"/>
          <w:numId w:val="25"/>
        </w:numPr>
        <w:ind w:left="568" w:hanging="284"/>
        <w:contextualSpacing w:val="0"/>
        <w:rPr>
          <w:rFonts w:ascii="Century Gothic" w:hAnsi="Century Gothic"/>
          <w:sz w:val="20"/>
          <w:szCs w:val="21"/>
        </w:rPr>
      </w:pPr>
      <w:proofErr w:type="gramStart"/>
      <w:r w:rsidRPr="001126E9">
        <w:rPr>
          <w:rFonts w:ascii="Century Gothic" w:hAnsi="Century Gothic"/>
          <w:sz w:val="20"/>
          <w:szCs w:val="21"/>
        </w:rPr>
        <w:t>be</w:t>
      </w:r>
      <w:proofErr w:type="gramEnd"/>
      <w:r w:rsidRPr="001126E9">
        <w:rPr>
          <w:rFonts w:ascii="Century Gothic" w:hAnsi="Century Gothic"/>
          <w:sz w:val="20"/>
          <w:szCs w:val="21"/>
        </w:rPr>
        <w:t xml:space="preserve"> competent in doing so, aware of the risks present and be able to raise the alarm if required. </w:t>
      </w:r>
    </w:p>
    <w:p w:rsidR="004F5CD2" w:rsidRPr="001126E9" w:rsidRDefault="004F5CD2" w:rsidP="00D07D4F">
      <w:pPr>
        <w:pStyle w:val="ListParagraph"/>
        <w:numPr>
          <w:ilvl w:val="0"/>
          <w:numId w:val="25"/>
        </w:numPr>
        <w:ind w:left="568" w:hanging="284"/>
        <w:contextualSpacing w:val="0"/>
        <w:rPr>
          <w:rFonts w:ascii="Century Gothic" w:hAnsi="Century Gothic"/>
          <w:sz w:val="20"/>
          <w:szCs w:val="21"/>
        </w:rPr>
      </w:pPr>
      <w:proofErr w:type="gramStart"/>
      <w:r w:rsidRPr="001126E9">
        <w:rPr>
          <w:rFonts w:ascii="Century Gothic" w:hAnsi="Century Gothic"/>
          <w:sz w:val="20"/>
          <w:szCs w:val="21"/>
        </w:rPr>
        <w:t>record</w:t>
      </w:r>
      <w:proofErr w:type="gramEnd"/>
      <w:r w:rsidRPr="001126E9">
        <w:rPr>
          <w:rFonts w:ascii="Century Gothic" w:hAnsi="Century Gothic"/>
          <w:sz w:val="20"/>
          <w:szCs w:val="21"/>
        </w:rPr>
        <w:t xml:space="preserve"> and document the patient’s progress as required.</w:t>
      </w:r>
    </w:p>
    <w:p w:rsidR="004F5CD2" w:rsidRPr="001126E9" w:rsidRDefault="004F5CD2" w:rsidP="00D07D4F">
      <w:pPr>
        <w:pStyle w:val="ListParagraph"/>
        <w:numPr>
          <w:ilvl w:val="0"/>
          <w:numId w:val="25"/>
        </w:numPr>
        <w:ind w:left="568" w:hanging="284"/>
        <w:contextualSpacing w:val="0"/>
        <w:rPr>
          <w:rFonts w:ascii="Century Gothic" w:hAnsi="Century Gothic"/>
          <w:sz w:val="20"/>
          <w:szCs w:val="21"/>
        </w:rPr>
      </w:pPr>
      <w:proofErr w:type="gramStart"/>
      <w:r w:rsidRPr="001126E9">
        <w:rPr>
          <w:rFonts w:ascii="Century Gothic" w:hAnsi="Century Gothic"/>
          <w:sz w:val="20"/>
          <w:szCs w:val="21"/>
        </w:rPr>
        <w:t>communicate</w:t>
      </w:r>
      <w:proofErr w:type="gramEnd"/>
      <w:r w:rsidRPr="001126E9">
        <w:rPr>
          <w:rFonts w:ascii="Century Gothic" w:hAnsi="Century Gothic"/>
          <w:sz w:val="20"/>
          <w:szCs w:val="21"/>
        </w:rPr>
        <w:t xml:space="preserve"> any concerns about the patient to the wider MDT.</w:t>
      </w:r>
    </w:p>
    <w:p w:rsidR="004F5CD2" w:rsidRPr="001126E9" w:rsidRDefault="004F5CD2" w:rsidP="00D07D4F">
      <w:pPr>
        <w:pStyle w:val="ListParagraph"/>
        <w:numPr>
          <w:ilvl w:val="0"/>
          <w:numId w:val="25"/>
        </w:numPr>
        <w:ind w:left="567" w:hanging="283"/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use Datix to report any significant incidents or adverse events</w:t>
      </w:r>
    </w:p>
    <w:p w:rsidR="004F5CD2" w:rsidRPr="001126E9" w:rsidRDefault="004F5CD2" w:rsidP="00AF3634">
      <w:pPr>
        <w:rPr>
          <w:rFonts w:ascii="Century Gothic" w:hAnsi="Century Gothic"/>
          <w:sz w:val="20"/>
          <w:szCs w:val="21"/>
        </w:rPr>
      </w:pPr>
      <w:r w:rsidRPr="001126E9">
        <w:rPr>
          <w:rFonts w:ascii="Century Gothic" w:hAnsi="Century Gothic"/>
          <w:sz w:val="20"/>
          <w:szCs w:val="21"/>
        </w:rPr>
        <w:t>The level of observation should be reviewed by the MDT regularly. Best practice guidelines would recommend this occurs at least once in every 24 hours.</w:t>
      </w:r>
    </w:p>
    <w:p w:rsidR="004F5CD2" w:rsidRPr="001126E9" w:rsidRDefault="004F5CD2" w:rsidP="009A4CCD">
      <w:pPr>
        <w:spacing w:before="240" w:after="60"/>
        <w:rPr>
          <w:rFonts w:ascii="Century Gothic" w:hAnsi="Century Gothic"/>
          <w:b/>
          <w:color w:val="C00000"/>
          <w:sz w:val="22"/>
          <w:szCs w:val="25"/>
        </w:rPr>
      </w:pPr>
      <w:r w:rsidRPr="001126E9">
        <w:rPr>
          <w:rFonts w:ascii="Century Gothic" w:hAnsi="Century Gothic"/>
          <w:b/>
          <w:color w:val="C00000"/>
          <w:sz w:val="22"/>
          <w:szCs w:val="25"/>
        </w:rPr>
        <w:t>References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Adults with Incapacity (</w:t>
      </w:r>
      <w:smartTag w:uri="urn:schemas-microsoft-com:office:smarttags" w:element="place">
        <w:r w:rsidRPr="00B765FB">
          <w:rPr>
            <w:rFonts w:ascii="Century Gothic" w:hAnsi="Century Gothic"/>
            <w:sz w:val="20"/>
          </w:rPr>
          <w:t>Scotland</w:t>
        </w:r>
      </w:smartTag>
      <w:r w:rsidRPr="00B765FB">
        <w:rPr>
          <w:rFonts w:ascii="Century Gothic" w:hAnsi="Century Gothic"/>
          <w:sz w:val="20"/>
        </w:rPr>
        <w:t>) Act 2000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Human Rights Act 1998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Mental Health (Care &amp; Treatment) (</w:t>
      </w:r>
      <w:smartTag w:uri="urn:schemas-microsoft-com:office:smarttags" w:element="place">
        <w:r w:rsidRPr="00B765FB">
          <w:rPr>
            <w:rFonts w:ascii="Century Gothic" w:hAnsi="Century Gothic"/>
            <w:sz w:val="20"/>
          </w:rPr>
          <w:t>Scotland</w:t>
        </w:r>
      </w:smartTag>
      <w:r w:rsidRPr="00B765FB">
        <w:rPr>
          <w:rFonts w:ascii="Century Gothic" w:hAnsi="Century Gothic"/>
          <w:sz w:val="20"/>
        </w:rPr>
        <w:t>) Act 2003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The Scottish Executive Clinical Resource and Audit Group (CRAG) Engaging People: the observation of people with acute mental health problems – a good practice statement 2002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NHSGGC Restraint Policy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lastRenderedPageBreak/>
        <w:t>NHSGGC Mental Health Service Safe and Supportive Observation Policy and Practice Guidance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NHSGGC Guidelines for the Observation of Patients with Acute Behavioural Disturbance in Acute Division Wards</w:t>
      </w:r>
    </w:p>
    <w:p w:rsidR="004F5CD2" w:rsidRPr="00B765FB" w:rsidRDefault="004F5CD2" w:rsidP="009A4CCD">
      <w:pPr>
        <w:pStyle w:val="ListParagraph"/>
        <w:numPr>
          <w:ilvl w:val="0"/>
          <w:numId w:val="26"/>
        </w:numPr>
        <w:spacing w:after="60"/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>The Mental Welfare Commission: Right to Treat? 2011</w:t>
      </w:r>
    </w:p>
    <w:p w:rsidR="004F5CD2" w:rsidRPr="00B765FB" w:rsidRDefault="004F5CD2" w:rsidP="004F02F9">
      <w:pPr>
        <w:pStyle w:val="ListParagraph"/>
        <w:numPr>
          <w:ilvl w:val="0"/>
          <w:numId w:val="26"/>
        </w:numPr>
        <w:ind w:left="568" w:hanging="284"/>
        <w:contextualSpacing w:val="0"/>
        <w:rPr>
          <w:rFonts w:ascii="Century Gothic" w:hAnsi="Century Gothic"/>
          <w:sz w:val="20"/>
        </w:rPr>
      </w:pPr>
      <w:r w:rsidRPr="00B765FB">
        <w:rPr>
          <w:rFonts w:ascii="Century Gothic" w:hAnsi="Century Gothic"/>
          <w:sz w:val="20"/>
        </w:rPr>
        <w:t xml:space="preserve">The Mental Welfare Commission: Advice Notes, Nurse’s power to Detain Section 299 2013 </w:t>
      </w:r>
    </w:p>
    <w:sectPr w:rsidR="004F5CD2" w:rsidRPr="00B765FB" w:rsidSect="00A73E80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D2" w:rsidRDefault="004F5CD2">
      <w:r>
        <w:separator/>
      </w:r>
    </w:p>
  </w:endnote>
  <w:endnote w:type="continuationSeparator" w:id="0">
    <w:p w:rsidR="004F5CD2" w:rsidRDefault="004F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 Bold">
    <w:altName w:val="Agend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D2" w:rsidRPr="00067867" w:rsidRDefault="004F5CD2" w:rsidP="00067867">
    <w:pPr>
      <w:pStyle w:val="Footer"/>
      <w:rPr>
        <w:sz w:val="16"/>
      </w:rPr>
    </w:pPr>
    <w:r>
      <w:rPr>
        <w:sz w:val="16"/>
      </w:rPr>
      <w:t>H&amp;S Toolbox Talk / Note (June 2017)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D2" w:rsidRDefault="004F5CD2">
      <w:r>
        <w:separator/>
      </w:r>
    </w:p>
  </w:footnote>
  <w:footnote w:type="continuationSeparator" w:id="0">
    <w:p w:rsidR="004F5CD2" w:rsidRDefault="004F5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D2" w:rsidRPr="007F7CF0" w:rsidRDefault="00541E44" w:rsidP="00BD473C">
    <w:pPr>
      <w:rPr>
        <w:rFonts w:ascii="Century Gothic" w:hAnsi="Century Gothic" w:cs="Arial"/>
        <w:b/>
        <w:color w:val="333399"/>
        <w:sz w:val="28"/>
        <w:szCs w:val="28"/>
      </w:rPr>
    </w:pPr>
    <w:r w:rsidRPr="00541E44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logo3" style="position:absolute;left:0;text-align:left;margin-left:422.3pt;margin-top:-9.5pt;width:56.7pt;height:40.8pt;z-index:-251657728;visibility:visible" wrapcoords="-284 0 -284 21200 21600 21200 21600 0 -284 0">
          <v:imagedata r:id="rId1" o:title=""/>
          <w10:wrap type="tight"/>
        </v:shape>
      </w:pict>
    </w:r>
    <w:r w:rsidR="004F5CD2" w:rsidRPr="007F7CF0">
      <w:rPr>
        <w:rFonts w:ascii="Century Gothic" w:hAnsi="Century Gothic" w:cs="Arial"/>
        <w:b/>
        <w:color w:val="333399"/>
        <w:sz w:val="28"/>
        <w:szCs w:val="28"/>
      </w:rPr>
      <w:t>Health &amp; Safety</w:t>
    </w:r>
    <w:r w:rsidR="004F5CD2">
      <w:rPr>
        <w:rFonts w:ascii="Century Gothic" w:hAnsi="Century Gothic" w:cs="Arial"/>
        <w:b/>
        <w:color w:val="333399"/>
        <w:sz w:val="28"/>
        <w:szCs w:val="28"/>
      </w:rPr>
      <w:t xml:space="preserve"> – Violence &amp; Aggression Reduction</w:t>
    </w:r>
  </w:p>
  <w:p w:rsidR="004F5CD2" w:rsidRPr="00C33292" w:rsidRDefault="00541E44" w:rsidP="00067867">
    <w:pPr>
      <w:rPr>
        <w:rFonts w:ascii="Century Gothic" w:hAnsi="Century Gothic" w:cs="Arial"/>
        <w:b/>
        <w:sz w:val="20"/>
        <w:szCs w:val="28"/>
      </w:rPr>
    </w:pPr>
    <w:r w:rsidRPr="00541E44">
      <w:rPr>
        <w:noProof/>
        <w:lang w:eastAsia="en-GB"/>
      </w:rPr>
      <w:pict>
        <v:line id="Line 2" o:spid="_x0000_s2050" style="position:absolute;left:0;text-align:left;z-index:251656704;visibility:visible" from="0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Dg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" strokecolor="gray" strokeweight="1.5pt"/>
      </w:pict>
    </w:r>
    <w:r w:rsidR="004F5CD2" w:rsidRPr="00C33292">
      <w:rPr>
        <w:rFonts w:ascii="Century Gothic" w:hAnsi="Century Gothic" w:cs="Arial"/>
        <w:b/>
        <w:sz w:val="20"/>
        <w:szCs w:val="28"/>
      </w:rPr>
      <w:t>Toolbox Talk / Note – Safe &amp; Supportive Enhanced Observations &amp; Engagement (SSEOE)</w:t>
    </w:r>
  </w:p>
  <w:p w:rsidR="004F5CD2" w:rsidRDefault="004F5CD2" w:rsidP="00067867">
    <w:pPr>
      <w:pStyle w:val="Header"/>
      <w:spacing w:line="264" w:lineRule="auto"/>
      <w:rPr>
        <w:rFonts w:ascii="Century Gothic" w:hAnsi="Century Gothic" w:cs="Arial"/>
        <w:sz w:val="18"/>
        <w:szCs w:val="20"/>
      </w:rPr>
    </w:pPr>
    <w:r w:rsidRPr="007F7CF0">
      <w:rPr>
        <w:rFonts w:ascii="Century Gothic" w:hAnsi="Century Gothic" w:cs="Arial"/>
        <w:sz w:val="18"/>
        <w:szCs w:val="20"/>
      </w:rPr>
      <w:t xml:space="preserve">Local Managers </w:t>
    </w:r>
    <w:r>
      <w:rPr>
        <w:rFonts w:ascii="Century Gothic" w:hAnsi="Century Gothic" w:cs="Arial"/>
        <w:sz w:val="18"/>
        <w:szCs w:val="20"/>
      </w:rPr>
      <w:t xml:space="preserve">should </w:t>
    </w:r>
    <w:r w:rsidRPr="007F7CF0">
      <w:rPr>
        <w:rFonts w:ascii="Century Gothic" w:hAnsi="Century Gothic" w:cs="Arial"/>
        <w:sz w:val="18"/>
        <w:szCs w:val="20"/>
      </w:rPr>
      <w:t>communicate</w:t>
    </w:r>
    <w:r>
      <w:rPr>
        <w:rFonts w:ascii="Century Gothic" w:hAnsi="Century Gothic" w:cs="Arial"/>
        <w:sz w:val="18"/>
        <w:szCs w:val="20"/>
      </w:rPr>
      <w:t xml:space="preserve"> these</w:t>
    </w:r>
    <w:r w:rsidRPr="007F7CF0">
      <w:rPr>
        <w:rFonts w:ascii="Century Gothic" w:hAnsi="Century Gothic" w:cs="Arial"/>
        <w:sz w:val="18"/>
        <w:szCs w:val="20"/>
      </w:rPr>
      <w:t xml:space="preserve"> key safety messages to their staff at handovers, staff meetings, </w:t>
    </w:r>
  </w:p>
  <w:p w:rsidR="004F5CD2" w:rsidRPr="007F7CF0" w:rsidRDefault="004F5CD2" w:rsidP="00067867">
    <w:pPr>
      <w:pStyle w:val="Header"/>
      <w:spacing w:line="264" w:lineRule="auto"/>
      <w:rPr>
        <w:rFonts w:ascii="Century Gothic" w:hAnsi="Century Gothic" w:cs="Arial"/>
        <w:sz w:val="18"/>
        <w:szCs w:val="20"/>
      </w:rPr>
    </w:pPr>
    <w:proofErr w:type="gramStart"/>
    <w:r w:rsidRPr="007F7CF0">
      <w:rPr>
        <w:rFonts w:ascii="Century Gothic" w:hAnsi="Century Gothic" w:cs="Arial"/>
        <w:sz w:val="18"/>
        <w:szCs w:val="20"/>
      </w:rPr>
      <w:t>huddles</w:t>
    </w:r>
    <w:proofErr w:type="gramEnd"/>
    <w:r w:rsidRPr="007F7CF0">
      <w:rPr>
        <w:rFonts w:ascii="Century Gothic" w:hAnsi="Century Gothic" w:cs="Arial"/>
        <w:sz w:val="18"/>
        <w:szCs w:val="20"/>
      </w:rPr>
      <w:t xml:space="preserve"> etc. The</w:t>
    </w:r>
    <w:r>
      <w:rPr>
        <w:rFonts w:ascii="Century Gothic" w:hAnsi="Century Gothic" w:cs="Arial"/>
        <w:sz w:val="18"/>
        <w:szCs w:val="20"/>
      </w:rPr>
      <w:t>y</w:t>
    </w:r>
    <w:r w:rsidRPr="007F7CF0">
      <w:rPr>
        <w:rFonts w:ascii="Century Gothic" w:hAnsi="Century Gothic" w:cs="Arial"/>
        <w:sz w:val="18"/>
        <w:szCs w:val="20"/>
      </w:rPr>
      <w:t xml:space="preserve"> are developed in response to events that have occurred or identified hazards.  </w:t>
    </w:r>
  </w:p>
  <w:p w:rsidR="004F5CD2" w:rsidRPr="00067867" w:rsidRDefault="00541E44" w:rsidP="00067867">
    <w:pPr>
      <w:pStyle w:val="Header"/>
      <w:rPr>
        <w:rFonts w:ascii="Arial" w:hAnsi="Arial" w:cs="Arial"/>
        <w:sz w:val="14"/>
      </w:rPr>
    </w:pPr>
    <w:r w:rsidRPr="00541E44">
      <w:rPr>
        <w:noProof/>
      </w:rPr>
      <w:pict>
        <v:line id="Line 3" o:spid="_x0000_s2051" style="position:absolute;z-index:251657728;visibility:visible" from=".75pt,.95pt" to="47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yT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" strokecolor="gray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60BA2"/>
    <w:multiLevelType w:val="hybridMultilevel"/>
    <w:tmpl w:val="6B61892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4B2BDCA"/>
    <w:multiLevelType w:val="hybridMultilevel"/>
    <w:tmpl w:val="8F28236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F9750E2"/>
    <w:multiLevelType w:val="hybridMultilevel"/>
    <w:tmpl w:val="D31C6E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18DC6BA"/>
    <w:multiLevelType w:val="hybridMultilevel"/>
    <w:tmpl w:val="36C977C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B3766E"/>
    <w:multiLevelType w:val="hybridMultilevel"/>
    <w:tmpl w:val="4C0A8924"/>
    <w:lvl w:ilvl="0" w:tplc="A80C50D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24BB2"/>
    <w:multiLevelType w:val="hybridMultilevel"/>
    <w:tmpl w:val="28ACA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2F5F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445AE"/>
    <w:multiLevelType w:val="hybridMultilevel"/>
    <w:tmpl w:val="4B6E44B4"/>
    <w:lvl w:ilvl="0" w:tplc="4DDA202A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3B2344"/>
    <w:multiLevelType w:val="hybridMultilevel"/>
    <w:tmpl w:val="2D22EE46"/>
    <w:lvl w:ilvl="0" w:tplc="4978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A16589"/>
    <w:multiLevelType w:val="hybridMultilevel"/>
    <w:tmpl w:val="B347FB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23806DE"/>
    <w:multiLevelType w:val="hybridMultilevel"/>
    <w:tmpl w:val="4530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C36F3"/>
    <w:multiLevelType w:val="hybridMultilevel"/>
    <w:tmpl w:val="7430F77C"/>
    <w:lvl w:ilvl="0" w:tplc="F8428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96621A"/>
    <w:multiLevelType w:val="hybridMultilevel"/>
    <w:tmpl w:val="7218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5E51"/>
    <w:multiLevelType w:val="hybridMultilevel"/>
    <w:tmpl w:val="3D0555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9371001"/>
    <w:multiLevelType w:val="hybridMultilevel"/>
    <w:tmpl w:val="28BCAD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A5A3409"/>
    <w:multiLevelType w:val="hybridMultilevel"/>
    <w:tmpl w:val="14DE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56EAC"/>
    <w:multiLevelType w:val="hybridMultilevel"/>
    <w:tmpl w:val="1A3CCE3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4FD440BD"/>
    <w:multiLevelType w:val="hybridMultilevel"/>
    <w:tmpl w:val="83D2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867DF"/>
    <w:multiLevelType w:val="hybridMultilevel"/>
    <w:tmpl w:val="318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7704E"/>
    <w:multiLevelType w:val="hybridMultilevel"/>
    <w:tmpl w:val="6238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41918"/>
    <w:multiLevelType w:val="hybridMultilevel"/>
    <w:tmpl w:val="C2443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75967"/>
    <w:multiLevelType w:val="hybridMultilevel"/>
    <w:tmpl w:val="24EA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22553"/>
    <w:multiLevelType w:val="hybridMultilevel"/>
    <w:tmpl w:val="11EC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9777F"/>
    <w:multiLevelType w:val="hybridMultilevel"/>
    <w:tmpl w:val="3E44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14931"/>
    <w:multiLevelType w:val="hybridMultilevel"/>
    <w:tmpl w:val="24DC5F78"/>
    <w:lvl w:ilvl="0" w:tplc="F266B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157EB0"/>
    <w:multiLevelType w:val="hybridMultilevel"/>
    <w:tmpl w:val="D06EA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8C43CE"/>
    <w:multiLevelType w:val="hybridMultilevel"/>
    <w:tmpl w:val="F6CEF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7"/>
  </w:num>
  <w:num w:numId="5">
    <w:abstractNumId w:val="8"/>
  </w:num>
  <w:num w:numId="6">
    <w:abstractNumId w:val="4"/>
  </w:num>
  <w:num w:numId="7">
    <w:abstractNumId w:val="21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22"/>
  </w:num>
  <w:num w:numId="16">
    <w:abstractNumId w:val="17"/>
  </w:num>
  <w:num w:numId="17">
    <w:abstractNumId w:val="14"/>
  </w:num>
  <w:num w:numId="18">
    <w:abstractNumId w:val="15"/>
  </w:num>
  <w:num w:numId="19">
    <w:abstractNumId w:val="16"/>
  </w:num>
  <w:num w:numId="20">
    <w:abstractNumId w:val="11"/>
  </w:num>
  <w:num w:numId="21">
    <w:abstractNumId w:val="10"/>
  </w:num>
  <w:num w:numId="22">
    <w:abstractNumId w:val="19"/>
  </w:num>
  <w:num w:numId="23">
    <w:abstractNumId w:val="23"/>
  </w:num>
  <w:num w:numId="24">
    <w:abstractNumId w:val="6"/>
  </w:num>
  <w:num w:numId="25">
    <w:abstractNumId w:val="2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25A"/>
    <w:rsid w:val="000236B5"/>
    <w:rsid w:val="0003150A"/>
    <w:rsid w:val="000379DF"/>
    <w:rsid w:val="000409A7"/>
    <w:rsid w:val="00045018"/>
    <w:rsid w:val="00061D9F"/>
    <w:rsid w:val="00067867"/>
    <w:rsid w:val="00074510"/>
    <w:rsid w:val="000A67AE"/>
    <w:rsid w:val="000B04D7"/>
    <w:rsid w:val="000C268A"/>
    <w:rsid w:val="00103A4B"/>
    <w:rsid w:val="00105A33"/>
    <w:rsid w:val="001126E9"/>
    <w:rsid w:val="001201D3"/>
    <w:rsid w:val="001250D8"/>
    <w:rsid w:val="001340E6"/>
    <w:rsid w:val="0013410C"/>
    <w:rsid w:val="00135708"/>
    <w:rsid w:val="001374EE"/>
    <w:rsid w:val="00164331"/>
    <w:rsid w:val="00180149"/>
    <w:rsid w:val="00182BA1"/>
    <w:rsid w:val="001847F4"/>
    <w:rsid w:val="00191148"/>
    <w:rsid w:val="001E293F"/>
    <w:rsid w:val="001F149E"/>
    <w:rsid w:val="001F6719"/>
    <w:rsid w:val="001F7F32"/>
    <w:rsid w:val="00201AA5"/>
    <w:rsid w:val="002179D7"/>
    <w:rsid w:val="00240372"/>
    <w:rsid w:val="00253F30"/>
    <w:rsid w:val="00261D6A"/>
    <w:rsid w:val="00273DB8"/>
    <w:rsid w:val="002743B7"/>
    <w:rsid w:val="00282757"/>
    <w:rsid w:val="00283C05"/>
    <w:rsid w:val="00287675"/>
    <w:rsid w:val="002928D8"/>
    <w:rsid w:val="00296C22"/>
    <w:rsid w:val="002B0B0A"/>
    <w:rsid w:val="002C2CA0"/>
    <w:rsid w:val="002D1662"/>
    <w:rsid w:val="002E01B1"/>
    <w:rsid w:val="002E3C6C"/>
    <w:rsid w:val="002E7967"/>
    <w:rsid w:val="00334139"/>
    <w:rsid w:val="003439BE"/>
    <w:rsid w:val="003600C5"/>
    <w:rsid w:val="003627FB"/>
    <w:rsid w:val="003675FF"/>
    <w:rsid w:val="003732C4"/>
    <w:rsid w:val="003D0836"/>
    <w:rsid w:val="003E6FA3"/>
    <w:rsid w:val="003E6FEA"/>
    <w:rsid w:val="00415635"/>
    <w:rsid w:val="0045410A"/>
    <w:rsid w:val="00467A48"/>
    <w:rsid w:val="0047350D"/>
    <w:rsid w:val="00485811"/>
    <w:rsid w:val="00491F15"/>
    <w:rsid w:val="00497059"/>
    <w:rsid w:val="004E684B"/>
    <w:rsid w:val="004F02F9"/>
    <w:rsid w:val="004F5CD2"/>
    <w:rsid w:val="00503D69"/>
    <w:rsid w:val="00535E7A"/>
    <w:rsid w:val="00541E44"/>
    <w:rsid w:val="00542374"/>
    <w:rsid w:val="00572D35"/>
    <w:rsid w:val="005912F1"/>
    <w:rsid w:val="005C6383"/>
    <w:rsid w:val="005E6716"/>
    <w:rsid w:val="005F539B"/>
    <w:rsid w:val="00611C91"/>
    <w:rsid w:val="006142DD"/>
    <w:rsid w:val="006154F4"/>
    <w:rsid w:val="00637FCE"/>
    <w:rsid w:val="00642DA0"/>
    <w:rsid w:val="00672EFF"/>
    <w:rsid w:val="006844C2"/>
    <w:rsid w:val="00684FDB"/>
    <w:rsid w:val="00687CDB"/>
    <w:rsid w:val="006901E9"/>
    <w:rsid w:val="006B0599"/>
    <w:rsid w:val="006C49F7"/>
    <w:rsid w:val="006C79DE"/>
    <w:rsid w:val="006E345F"/>
    <w:rsid w:val="006F0D8C"/>
    <w:rsid w:val="006F3E97"/>
    <w:rsid w:val="006F48B3"/>
    <w:rsid w:val="006F5422"/>
    <w:rsid w:val="006F5F53"/>
    <w:rsid w:val="006F738F"/>
    <w:rsid w:val="00707001"/>
    <w:rsid w:val="007709C6"/>
    <w:rsid w:val="00780E66"/>
    <w:rsid w:val="0079799E"/>
    <w:rsid w:val="00797ED3"/>
    <w:rsid w:val="007A7E3A"/>
    <w:rsid w:val="007D05A4"/>
    <w:rsid w:val="007D0D9D"/>
    <w:rsid w:val="007D18F3"/>
    <w:rsid w:val="007E1112"/>
    <w:rsid w:val="007F1088"/>
    <w:rsid w:val="007F7CF0"/>
    <w:rsid w:val="00814401"/>
    <w:rsid w:val="00823B54"/>
    <w:rsid w:val="00831C7D"/>
    <w:rsid w:val="008977D9"/>
    <w:rsid w:val="008B1EB8"/>
    <w:rsid w:val="008E789A"/>
    <w:rsid w:val="009155FC"/>
    <w:rsid w:val="00917AFD"/>
    <w:rsid w:val="0092272A"/>
    <w:rsid w:val="009367CD"/>
    <w:rsid w:val="0095160B"/>
    <w:rsid w:val="009757E1"/>
    <w:rsid w:val="009958E0"/>
    <w:rsid w:val="009A4CCD"/>
    <w:rsid w:val="009C47CA"/>
    <w:rsid w:val="009D7258"/>
    <w:rsid w:val="009D77B7"/>
    <w:rsid w:val="009F505A"/>
    <w:rsid w:val="00A062F4"/>
    <w:rsid w:val="00A12840"/>
    <w:rsid w:val="00A276D8"/>
    <w:rsid w:val="00A66239"/>
    <w:rsid w:val="00A73E80"/>
    <w:rsid w:val="00A85E77"/>
    <w:rsid w:val="00AA0E17"/>
    <w:rsid w:val="00AB0986"/>
    <w:rsid w:val="00AB4218"/>
    <w:rsid w:val="00AC7248"/>
    <w:rsid w:val="00AD7F88"/>
    <w:rsid w:val="00AF3634"/>
    <w:rsid w:val="00AF4D56"/>
    <w:rsid w:val="00B004B2"/>
    <w:rsid w:val="00B32864"/>
    <w:rsid w:val="00B40661"/>
    <w:rsid w:val="00B6186E"/>
    <w:rsid w:val="00B765FB"/>
    <w:rsid w:val="00B941DB"/>
    <w:rsid w:val="00BA4423"/>
    <w:rsid w:val="00BB2263"/>
    <w:rsid w:val="00BC76F7"/>
    <w:rsid w:val="00BD473C"/>
    <w:rsid w:val="00BE23AF"/>
    <w:rsid w:val="00BF033D"/>
    <w:rsid w:val="00C07E2E"/>
    <w:rsid w:val="00C11218"/>
    <w:rsid w:val="00C26532"/>
    <w:rsid w:val="00C33292"/>
    <w:rsid w:val="00C40BA7"/>
    <w:rsid w:val="00C63838"/>
    <w:rsid w:val="00C7358B"/>
    <w:rsid w:val="00C75371"/>
    <w:rsid w:val="00C90C6A"/>
    <w:rsid w:val="00C91C02"/>
    <w:rsid w:val="00C965BD"/>
    <w:rsid w:val="00CA77E6"/>
    <w:rsid w:val="00CC0950"/>
    <w:rsid w:val="00CC22F0"/>
    <w:rsid w:val="00CC4945"/>
    <w:rsid w:val="00CF625A"/>
    <w:rsid w:val="00D07D4F"/>
    <w:rsid w:val="00D10AA4"/>
    <w:rsid w:val="00D35230"/>
    <w:rsid w:val="00D67438"/>
    <w:rsid w:val="00D74DC3"/>
    <w:rsid w:val="00D81200"/>
    <w:rsid w:val="00D81294"/>
    <w:rsid w:val="00D97112"/>
    <w:rsid w:val="00DB3686"/>
    <w:rsid w:val="00DB584A"/>
    <w:rsid w:val="00DC104C"/>
    <w:rsid w:val="00DD13C2"/>
    <w:rsid w:val="00DE1A59"/>
    <w:rsid w:val="00DE45CB"/>
    <w:rsid w:val="00DE7709"/>
    <w:rsid w:val="00DF37BC"/>
    <w:rsid w:val="00E0120A"/>
    <w:rsid w:val="00E109F3"/>
    <w:rsid w:val="00E4448E"/>
    <w:rsid w:val="00E45F36"/>
    <w:rsid w:val="00E541DF"/>
    <w:rsid w:val="00E73062"/>
    <w:rsid w:val="00EA2188"/>
    <w:rsid w:val="00EA52A5"/>
    <w:rsid w:val="00EB2755"/>
    <w:rsid w:val="00EC4C49"/>
    <w:rsid w:val="00EC6069"/>
    <w:rsid w:val="00ED06EF"/>
    <w:rsid w:val="00ED07C2"/>
    <w:rsid w:val="00EE57B3"/>
    <w:rsid w:val="00F17A68"/>
    <w:rsid w:val="00F249C7"/>
    <w:rsid w:val="00F51184"/>
    <w:rsid w:val="00F529D8"/>
    <w:rsid w:val="00F631F9"/>
    <w:rsid w:val="00F70A70"/>
    <w:rsid w:val="00FA2C4A"/>
    <w:rsid w:val="00FB23EB"/>
    <w:rsid w:val="00FB5906"/>
    <w:rsid w:val="00FC4E90"/>
    <w:rsid w:val="00FC5296"/>
    <w:rsid w:val="00FC7C9F"/>
    <w:rsid w:val="00FD09F4"/>
    <w:rsid w:val="00FD6FB7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C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8B3"/>
    <w:pPr>
      <w:tabs>
        <w:tab w:val="center" w:pos="4153"/>
        <w:tab w:val="right" w:pos="8306"/>
      </w:tabs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7FB"/>
    <w:rPr>
      <w:rFonts w:ascii="Garamond" w:hAnsi="Garamond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6F48B3"/>
    <w:pPr>
      <w:tabs>
        <w:tab w:val="center" w:pos="4153"/>
        <w:tab w:val="right" w:pos="8306"/>
      </w:tabs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27FB"/>
    <w:rPr>
      <w:rFonts w:ascii="Garamond" w:hAnsi="Garamond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A2C4A"/>
    <w:pPr>
      <w:overflowPunct/>
      <w:autoSpaceDE/>
      <w:autoSpaceDN/>
      <w:adjustRightInd/>
      <w:spacing w:after="0"/>
      <w:jc w:val="left"/>
      <w:textAlignment w:val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7FB"/>
    <w:rPr>
      <w:rFonts w:cs="Times New Roman"/>
      <w:sz w:val="2"/>
      <w:lang w:eastAsia="zh-TW"/>
    </w:rPr>
  </w:style>
  <w:style w:type="paragraph" w:customStyle="1" w:styleId="Default">
    <w:name w:val="Default"/>
    <w:uiPriority w:val="99"/>
    <w:rsid w:val="00917AFD"/>
    <w:pPr>
      <w:widowControl w:val="0"/>
      <w:autoSpaceDE w:val="0"/>
      <w:autoSpaceDN w:val="0"/>
      <w:adjustRightInd w:val="0"/>
    </w:pPr>
    <w:rPr>
      <w:rFonts w:ascii="Agenda Bold" w:hAnsi="Agenda Bold" w:cs="Agenda 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17AFD"/>
    <w:pPr>
      <w:spacing w:line="33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17AF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17AFD"/>
    <w:pPr>
      <w:spacing w:line="3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17AFD"/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A73E8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73E80"/>
    <w:rPr>
      <w:color w:val="D22229"/>
      <w:sz w:val="28"/>
    </w:rPr>
  </w:style>
  <w:style w:type="paragraph" w:customStyle="1" w:styleId="Pa2">
    <w:name w:val="Pa2"/>
    <w:basedOn w:val="Default"/>
    <w:next w:val="Default"/>
    <w:uiPriority w:val="99"/>
    <w:rsid w:val="00A73E80"/>
    <w:pPr>
      <w:spacing w:line="241" w:lineRule="atLeast"/>
    </w:pPr>
    <w:rPr>
      <w:rFonts w:cs="Times New Roman"/>
      <w:color w:val="auto"/>
    </w:rPr>
  </w:style>
  <w:style w:type="paragraph" w:customStyle="1" w:styleId="nhsbase">
    <w:name w:val="nhs_base"/>
    <w:basedOn w:val="Normal"/>
    <w:uiPriority w:val="99"/>
    <w:rsid w:val="003600C5"/>
    <w:pPr>
      <w:spacing w:after="0"/>
      <w:jc w:val="left"/>
    </w:pPr>
    <w:rPr>
      <w:rFonts w:ascii="Times New Roman" w:hAnsi="Times New Roman"/>
      <w:kern w:val="16"/>
    </w:rPr>
  </w:style>
  <w:style w:type="character" w:styleId="Hyperlink">
    <w:name w:val="Hyperlink"/>
    <w:basedOn w:val="DefaultParagraphFont"/>
    <w:uiPriority w:val="99"/>
    <w:rsid w:val="003600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286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B098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126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Word_97_-_2003_Document2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Office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1096</Words>
  <Characters>5670</Characters>
  <Application>Microsoft Office Word</Application>
  <DocSecurity>0</DocSecurity>
  <Lines>47</Lines>
  <Paragraphs>13</Paragraphs>
  <ScaleCrop>false</ScaleCrop>
  <Company>NHSGGC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Near Miss Reporting Toolbox</dc:title>
  <dc:subject/>
  <dc:creator>mainsda969</dc:creator>
  <cp:keywords/>
  <dc:description/>
  <cp:lastModifiedBy>magenmi485</cp:lastModifiedBy>
  <cp:revision>4</cp:revision>
  <cp:lastPrinted>2017-06-30T10:03:00Z</cp:lastPrinted>
  <dcterms:created xsi:type="dcterms:W3CDTF">2017-06-30T10:13:00Z</dcterms:created>
  <dcterms:modified xsi:type="dcterms:W3CDTF">2017-09-18T09:05:00Z</dcterms:modified>
</cp:coreProperties>
</file>