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105" w:rsidRPr="003C233D" w:rsidRDefault="00BF4105" w:rsidP="00BF4105">
      <w:pPr>
        <w:jc w:val="both"/>
        <w:rPr>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34"/>
      </w:tblGrid>
      <w:tr w:rsidR="00BF4105" w:rsidRPr="00D56079" w:rsidTr="009D2AA8">
        <w:tc>
          <w:tcPr>
            <w:tcW w:w="9854" w:type="dxa"/>
            <w:shd w:val="clear" w:color="auto" w:fill="A6A6A6"/>
          </w:tcPr>
          <w:p w:rsidR="00BF4105" w:rsidRDefault="00BF4105" w:rsidP="009D2AA8">
            <w:pPr>
              <w:pStyle w:val="Heading2"/>
              <w:overflowPunct w:val="0"/>
              <w:autoSpaceDE w:val="0"/>
              <w:autoSpaceDN w:val="0"/>
              <w:adjustRightInd w:val="0"/>
              <w:jc w:val="both"/>
              <w:textAlignment w:val="baseline"/>
            </w:pPr>
            <w:bookmarkStart w:id="0" w:name="_MANAGEMENT_OF_ACUTE"/>
            <w:bookmarkEnd w:id="0"/>
            <w:r w:rsidRPr="00D56079">
              <w:t xml:space="preserve">MANAGEMENT OF ACUTE DIABETIC </w:t>
            </w:r>
            <w:r>
              <w:t>KETOACIDOSIS</w:t>
            </w:r>
          </w:p>
          <w:p w:rsidR="00BF4105" w:rsidRPr="00D56079" w:rsidRDefault="00BF4105" w:rsidP="009D2AA8">
            <w:pPr>
              <w:overflowPunct w:val="0"/>
              <w:autoSpaceDE w:val="0"/>
              <w:autoSpaceDN w:val="0"/>
              <w:adjustRightInd w:val="0"/>
              <w:jc w:val="both"/>
              <w:textAlignment w:val="baseline"/>
            </w:pPr>
          </w:p>
        </w:tc>
      </w:tr>
    </w:tbl>
    <w:p w:rsidR="00BF4105" w:rsidRPr="003C233D" w:rsidRDefault="00BF4105" w:rsidP="00BF4105">
      <w:pPr>
        <w:autoSpaceDE w:val="0"/>
        <w:autoSpaceDN w:val="0"/>
        <w:adjustRightInd w:val="0"/>
        <w:jc w:val="both"/>
        <w:rPr>
          <w:rFonts w:ascii="Arial" w:hAnsi="Arial" w:cs="Arial"/>
          <w:b/>
          <w:bCs/>
        </w:rPr>
      </w:pPr>
    </w:p>
    <w:p w:rsidR="00BF4105" w:rsidRPr="00A07233" w:rsidRDefault="00BF4105" w:rsidP="00BF4105">
      <w:pPr>
        <w:autoSpaceDE w:val="0"/>
        <w:autoSpaceDN w:val="0"/>
        <w:adjustRightInd w:val="0"/>
        <w:jc w:val="both"/>
        <w:rPr>
          <w:rFonts w:ascii="Arial" w:hAnsi="Arial" w:cs="Arial"/>
          <w:sz w:val="20"/>
          <w:szCs w:val="20"/>
        </w:rPr>
      </w:pPr>
      <w:r w:rsidRPr="00A07233">
        <w:rPr>
          <w:rFonts w:ascii="Arial" w:hAnsi="Arial" w:cs="Arial"/>
          <w:sz w:val="20"/>
          <w:szCs w:val="20"/>
        </w:rPr>
        <w:t xml:space="preserve">Below is a </w:t>
      </w:r>
      <w:r w:rsidR="00A07233">
        <w:rPr>
          <w:rFonts w:ascii="Arial" w:hAnsi="Arial" w:cs="Arial"/>
          <w:sz w:val="20"/>
          <w:szCs w:val="20"/>
        </w:rPr>
        <w:t xml:space="preserve">link to the care pathway for </w:t>
      </w:r>
      <w:r w:rsidRPr="00A07233">
        <w:rPr>
          <w:rFonts w:ascii="Arial" w:hAnsi="Arial" w:cs="Arial"/>
          <w:sz w:val="20"/>
          <w:szCs w:val="20"/>
        </w:rPr>
        <w:t xml:space="preserve">the management of diabetic </w:t>
      </w:r>
      <w:proofErr w:type="spellStart"/>
      <w:r w:rsidRPr="00A07233">
        <w:rPr>
          <w:rFonts w:ascii="Arial" w:hAnsi="Arial" w:cs="Arial"/>
          <w:sz w:val="20"/>
          <w:szCs w:val="20"/>
        </w:rPr>
        <w:t>ketoacidosis</w:t>
      </w:r>
      <w:proofErr w:type="spellEnd"/>
      <w:r w:rsidRPr="00A07233">
        <w:rPr>
          <w:rFonts w:ascii="Arial" w:hAnsi="Arial" w:cs="Arial"/>
          <w:sz w:val="20"/>
          <w:szCs w:val="20"/>
        </w:rPr>
        <w:t xml:space="preserve"> in adults.  Specific guidelines exist for the management of DKA in children.</w:t>
      </w:r>
    </w:p>
    <w:p w:rsidR="00BF4105" w:rsidRPr="00A07233" w:rsidRDefault="00BF4105" w:rsidP="00A07233">
      <w:pPr>
        <w:pStyle w:val="Heading2"/>
        <w:shd w:val="clear" w:color="auto" w:fill="FFFFFF"/>
        <w:rPr>
          <w:color w:val="333333"/>
          <w:sz w:val="34"/>
          <w:szCs w:val="34"/>
        </w:rPr>
      </w:pPr>
      <w:r w:rsidRPr="00A07233">
        <w:rPr>
          <w:color w:val="333333"/>
          <w:sz w:val="34"/>
          <w:szCs w:val="34"/>
        </w:rPr>
        <w:t>MANAGEMENT OF DIABETIC KETOACIDOSIS (DKA)</w:t>
      </w:r>
    </w:p>
    <w:p w:rsidR="00BF4105" w:rsidRPr="0077252C" w:rsidRDefault="00BF4105" w:rsidP="00BF4105">
      <w:pPr>
        <w:jc w:val="both"/>
        <w:rPr>
          <w:rFonts w:ascii="Arial" w:hAnsi="Arial" w:cs="Arial"/>
          <w:b/>
          <w:bCs/>
        </w:rPr>
      </w:pPr>
    </w:p>
    <w:p w:rsidR="00BF4105" w:rsidRPr="00A07233" w:rsidRDefault="00BF4105" w:rsidP="00BF4105">
      <w:pPr>
        <w:jc w:val="both"/>
        <w:rPr>
          <w:rFonts w:ascii="Arial" w:hAnsi="Arial" w:cs="Arial"/>
          <w:sz w:val="20"/>
          <w:szCs w:val="20"/>
        </w:rPr>
      </w:pPr>
      <w:r w:rsidRPr="00A07233">
        <w:rPr>
          <w:rFonts w:ascii="Arial" w:hAnsi="Arial" w:cs="Arial"/>
          <w:b/>
          <w:sz w:val="20"/>
          <w:szCs w:val="20"/>
        </w:rPr>
        <w:t>Diagnosis</w:t>
      </w:r>
      <w:r w:rsidRPr="00A07233">
        <w:rPr>
          <w:rFonts w:ascii="Arial" w:hAnsi="Arial" w:cs="Arial"/>
          <w:sz w:val="20"/>
          <w:szCs w:val="20"/>
        </w:rPr>
        <w:t xml:space="preserve"> – severe uncontrolled diabetes with:</w:t>
      </w:r>
    </w:p>
    <w:p w:rsidR="00BF4105" w:rsidRPr="00A07233" w:rsidRDefault="00BF4105" w:rsidP="00BF4105">
      <w:pPr>
        <w:jc w:val="both"/>
        <w:rPr>
          <w:rFonts w:ascii="Arial" w:hAnsi="Arial" w:cs="Arial"/>
          <w:sz w:val="20"/>
          <w:szCs w:val="20"/>
        </w:rPr>
      </w:pPr>
    </w:p>
    <w:p w:rsidR="00BF4105" w:rsidRPr="00A07233" w:rsidRDefault="00BF4105" w:rsidP="00BF4105">
      <w:pPr>
        <w:numPr>
          <w:ilvl w:val="0"/>
          <w:numId w:val="1"/>
        </w:numPr>
        <w:tabs>
          <w:tab w:val="clear" w:pos="1095"/>
          <w:tab w:val="num" w:pos="720"/>
        </w:tabs>
        <w:ind w:hanging="1095"/>
        <w:jc w:val="both"/>
        <w:rPr>
          <w:rFonts w:ascii="Arial" w:hAnsi="Arial" w:cs="Arial"/>
          <w:sz w:val="20"/>
          <w:szCs w:val="20"/>
        </w:rPr>
      </w:pPr>
      <w:r w:rsidRPr="00A07233">
        <w:rPr>
          <w:rFonts w:ascii="Arial" w:hAnsi="Arial" w:cs="Arial"/>
          <w:sz w:val="20"/>
          <w:szCs w:val="20"/>
        </w:rPr>
        <w:t>Hyperglycaemia (blood glucose &gt; 14mmol/l, usually but not exclusively);</w:t>
      </w:r>
    </w:p>
    <w:p w:rsidR="00BF4105" w:rsidRPr="00A07233" w:rsidRDefault="00BF4105" w:rsidP="00BF4105">
      <w:pPr>
        <w:numPr>
          <w:ilvl w:val="0"/>
          <w:numId w:val="1"/>
        </w:numPr>
        <w:tabs>
          <w:tab w:val="clear" w:pos="1095"/>
          <w:tab w:val="num" w:pos="720"/>
        </w:tabs>
        <w:ind w:left="720" w:hanging="720"/>
        <w:jc w:val="both"/>
        <w:rPr>
          <w:rFonts w:ascii="Arial" w:hAnsi="Arial" w:cs="Arial"/>
          <w:sz w:val="20"/>
          <w:szCs w:val="20"/>
        </w:rPr>
      </w:pPr>
      <w:r w:rsidRPr="00A07233">
        <w:rPr>
          <w:rFonts w:ascii="Arial" w:hAnsi="Arial" w:cs="Arial"/>
          <w:sz w:val="20"/>
          <w:szCs w:val="20"/>
        </w:rPr>
        <w:t>Metabolic Acidosis  (H</w:t>
      </w:r>
      <w:r w:rsidRPr="00A07233">
        <w:rPr>
          <w:rFonts w:ascii="Arial" w:hAnsi="Arial" w:cs="Arial"/>
          <w:sz w:val="20"/>
          <w:szCs w:val="20"/>
          <w:vertAlign w:val="superscript"/>
        </w:rPr>
        <w:t xml:space="preserve">+ </w:t>
      </w:r>
      <w:r w:rsidRPr="00A07233">
        <w:rPr>
          <w:rFonts w:ascii="Arial" w:hAnsi="Arial" w:cs="Arial"/>
          <w:sz w:val="20"/>
          <w:szCs w:val="20"/>
        </w:rPr>
        <w:t>&gt;45mEq/L or HCO</w:t>
      </w:r>
      <w:r w:rsidRPr="00A07233">
        <w:rPr>
          <w:rFonts w:ascii="Arial" w:hAnsi="Arial" w:cs="Arial"/>
          <w:sz w:val="20"/>
          <w:szCs w:val="20"/>
          <w:vertAlign w:val="subscript"/>
        </w:rPr>
        <w:t>3</w:t>
      </w:r>
      <w:r w:rsidRPr="00A07233">
        <w:rPr>
          <w:rFonts w:ascii="Arial" w:hAnsi="Arial" w:cs="Arial"/>
          <w:sz w:val="20"/>
          <w:szCs w:val="20"/>
        </w:rPr>
        <w:softHyphen/>
      </w:r>
      <w:r w:rsidRPr="00A07233">
        <w:rPr>
          <w:rFonts w:ascii="Arial" w:hAnsi="Arial" w:cs="Arial"/>
          <w:sz w:val="20"/>
          <w:szCs w:val="20"/>
          <w:vertAlign w:val="superscript"/>
        </w:rPr>
        <w:t>-</w:t>
      </w:r>
      <w:r w:rsidRPr="00A07233">
        <w:rPr>
          <w:rFonts w:ascii="Arial" w:hAnsi="Arial" w:cs="Arial"/>
          <w:sz w:val="20"/>
          <w:szCs w:val="20"/>
        </w:rPr>
        <w:t xml:space="preserve"> &lt;18 </w:t>
      </w:r>
      <w:proofErr w:type="spellStart"/>
      <w:r w:rsidRPr="00A07233">
        <w:rPr>
          <w:rFonts w:ascii="Arial" w:hAnsi="Arial" w:cs="Arial"/>
          <w:sz w:val="20"/>
          <w:szCs w:val="20"/>
        </w:rPr>
        <w:t>mmol</w:t>
      </w:r>
      <w:proofErr w:type="spellEnd"/>
      <w:r w:rsidRPr="00A07233">
        <w:rPr>
          <w:rFonts w:ascii="Arial" w:hAnsi="Arial" w:cs="Arial"/>
          <w:sz w:val="20"/>
          <w:szCs w:val="20"/>
        </w:rPr>
        <w:t>/L or pH &lt;7.3 on venous gases);</w:t>
      </w:r>
    </w:p>
    <w:p w:rsidR="00BF4105" w:rsidRPr="00A07233" w:rsidRDefault="00BF4105" w:rsidP="00BF4105">
      <w:pPr>
        <w:numPr>
          <w:ilvl w:val="0"/>
          <w:numId w:val="1"/>
        </w:numPr>
        <w:tabs>
          <w:tab w:val="clear" w:pos="1095"/>
          <w:tab w:val="num" w:pos="720"/>
        </w:tabs>
        <w:ind w:hanging="1095"/>
        <w:jc w:val="both"/>
        <w:rPr>
          <w:rFonts w:ascii="Arial" w:hAnsi="Arial" w:cs="Arial"/>
          <w:sz w:val="20"/>
          <w:szCs w:val="20"/>
        </w:rPr>
      </w:pPr>
      <w:proofErr w:type="spellStart"/>
      <w:r w:rsidRPr="00A07233">
        <w:rPr>
          <w:rFonts w:ascii="Arial" w:hAnsi="Arial" w:cs="Arial"/>
          <w:sz w:val="20"/>
          <w:szCs w:val="20"/>
        </w:rPr>
        <w:t>Ketonaemia</w:t>
      </w:r>
      <w:proofErr w:type="spellEnd"/>
      <w:r w:rsidRPr="00A07233">
        <w:rPr>
          <w:rFonts w:ascii="Arial" w:hAnsi="Arial" w:cs="Arial"/>
          <w:sz w:val="20"/>
          <w:szCs w:val="20"/>
        </w:rPr>
        <w:t xml:space="preserve"> (&gt;3.0 </w:t>
      </w:r>
      <w:proofErr w:type="spellStart"/>
      <w:r w:rsidRPr="00A07233">
        <w:rPr>
          <w:rFonts w:ascii="Arial" w:hAnsi="Arial" w:cs="Arial"/>
          <w:sz w:val="20"/>
          <w:szCs w:val="20"/>
        </w:rPr>
        <w:t>mmol</w:t>
      </w:r>
      <w:proofErr w:type="spellEnd"/>
      <w:r w:rsidRPr="00A07233">
        <w:rPr>
          <w:rFonts w:ascii="Arial" w:hAnsi="Arial" w:cs="Arial"/>
          <w:sz w:val="20"/>
          <w:szCs w:val="20"/>
        </w:rPr>
        <w:t>/l) /</w:t>
      </w:r>
      <w:proofErr w:type="spellStart"/>
      <w:r w:rsidRPr="00A07233">
        <w:rPr>
          <w:rFonts w:ascii="Arial" w:hAnsi="Arial" w:cs="Arial"/>
          <w:sz w:val="20"/>
          <w:szCs w:val="20"/>
        </w:rPr>
        <w:t>ketonuria</w:t>
      </w:r>
      <w:proofErr w:type="spellEnd"/>
      <w:r w:rsidRPr="00A07233">
        <w:rPr>
          <w:rFonts w:ascii="Arial" w:hAnsi="Arial" w:cs="Arial"/>
          <w:sz w:val="20"/>
          <w:szCs w:val="20"/>
        </w:rPr>
        <w:t xml:space="preserve"> (&gt;++).</w:t>
      </w:r>
    </w:p>
    <w:p w:rsidR="00BF4105" w:rsidRPr="00A1415A" w:rsidRDefault="00BF4105" w:rsidP="00BF4105">
      <w:pPr>
        <w:jc w:val="both"/>
        <w:rPr>
          <w:rFonts w:ascii="Arial" w:hAnsi="Arial" w:cs="Arial"/>
        </w:rPr>
      </w:pPr>
    </w:p>
    <w:p w:rsidR="00BF4105" w:rsidRPr="00A07233" w:rsidRDefault="00BF4105" w:rsidP="00A07233">
      <w:pPr>
        <w:pStyle w:val="Heading2"/>
        <w:shd w:val="clear" w:color="auto" w:fill="FFFFFF"/>
        <w:rPr>
          <w:color w:val="333333"/>
          <w:sz w:val="34"/>
          <w:szCs w:val="34"/>
        </w:rPr>
      </w:pPr>
      <w:r w:rsidRPr="00A07233">
        <w:rPr>
          <w:color w:val="333333"/>
          <w:sz w:val="34"/>
          <w:szCs w:val="34"/>
        </w:rPr>
        <w:t>SEVERITY CRITERIA</w:t>
      </w:r>
    </w:p>
    <w:p w:rsidR="00BF4105" w:rsidRPr="00A07233" w:rsidRDefault="00BF4105" w:rsidP="00BF4105">
      <w:pPr>
        <w:jc w:val="both"/>
        <w:rPr>
          <w:rFonts w:ascii="Arial" w:hAnsi="Arial" w:cs="Arial"/>
          <w:sz w:val="20"/>
          <w:szCs w:val="20"/>
        </w:rPr>
      </w:pPr>
      <w:r w:rsidRPr="00A07233">
        <w:rPr>
          <w:rFonts w:ascii="Arial" w:hAnsi="Arial" w:cs="Arial"/>
          <w:sz w:val="20"/>
          <w:szCs w:val="20"/>
        </w:rPr>
        <w:t xml:space="preserve">One or more of the following may indicate severe DKA and should be considered for level 2 care (MHDU if available). It may also be necessary to consider a surgical cause for the deterioration. </w:t>
      </w:r>
    </w:p>
    <w:p w:rsidR="00BF4105" w:rsidRPr="00A07233" w:rsidRDefault="00BF4105" w:rsidP="00BF4105">
      <w:pPr>
        <w:jc w:val="both"/>
        <w:rPr>
          <w:rFonts w:ascii="Arial" w:hAnsi="Arial" w:cs="Arial"/>
          <w:sz w:val="20"/>
          <w:szCs w:val="20"/>
        </w:rPr>
      </w:pPr>
    </w:p>
    <w:p w:rsidR="00BF4105" w:rsidRPr="00A07233" w:rsidRDefault="00BF4105" w:rsidP="00BF4105">
      <w:pPr>
        <w:numPr>
          <w:ilvl w:val="0"/>
          <w:numId w:val="3"/>
        </w:numPr>
        <w:jc w:val="both"/>
        <w:rPr>
          <w:rFonts w:ascii="Arial" w:hAnsi="Arial" w:cs="Arial"/>
          <w:sz w:val="20"/>
          <w:szCs w:val="20"/>
        </w:rPr>
      </w:pPr>
      <w:r w:rsidRPr="00A07233">
        <w:rPr>
          <w:rFonts w:ascii="Arial" w:hAnsi="Arial" w:cs="Arial"/>
          <w:sz w:val="20"/>
          <w:szCs w:val="20"/>
        </w:rPr>
        <w:t xml:space="preserve">Blood </w:t>
      </w:r>
      <w:proofErr w:type="spellStart"/>
      <w:r w:rsidRPr="00A07233">
        <w:rPr>
          <w:rFonts w:ascii="Arial" w:hAnsi="Arial" w:cs="Arial"/>
          <w:sz w:val="20"/>
          <w:szCs w:val="20"/>
        </w:rPr>
        <w:t>ketones</w:t>
      </w:r>
      <w:proofErr w:type="spellEnd"/>
      <w:r w:rsidRPr="00A07233">
        <w:rPr>
          <w:rFonts w:ascii="Arial" w:hAnsi="Arial" w:cs="Arial"/>
          <w:sz w:val="20"/>
          <w:szCs w:val="20"/>
        </w:rPr>
        <w:t xml:space="preserve"> over 6mmol/L</w:t>
      </w:r>
    </w:p>
    <w:p w:rsidR="00BF4105" w:rsidRPr="00A07233" w:rsidRDefault="00BF4105" w:rsidP="00BF4105">
      <w:pPr>
        <w:numPr>
          <w:ilvl w:val="0"/>
          <w:numId w:val="3"/>
        </w:numPr>
        <w:jc w:val="both"/>
        <w:rPr>
          <w:rFonts w:ascii="Arial" w:hAnsi="Arial" w:cs="Arial"/>
          <w:sz w:val="20"/>
          <w:szCs w:val="20"/>
        </w:rPr>
      </w:pPr>
      <w:r w:rsidRPr="00A07233">
        <w:rPr>
          <w:rFonts w:ascii="Arial" w:hAnsi="Arial" w:cs="Arial"/>
          <w:sz w:val="20"/>
          <w:szCs w:val="20"/>
        </w:rPr>
        <w:t>Bicarbonate level below 5mmol/L</w:t>
      </w:r>
    </w:p>
    <w:p w:rsidR="00BF4105" w:rsidRPr="00A07233" w:rsidRDefault="00BF4105" w:rsidP="00BF4105">
      <w:pPr>
        <w:numPr>
          <w:ilvl w:val="0"/>
          <w:numId w:val="3"/>
        </w:numPr>
        <w:jc w:val="both"/>
        <w:rPr>
          <w:rFonts w:ascii="Arial" w:hAnsi="Arial" w:cs="Arial"/>
          <w:sz w:val="20"/>
          <w:szCs w:val="20"/>
        </w:rPr>
      </w:pPr>
      <w:r w:rsidRPr="00A07233">
        <w:rPr>
          <w:rFonts w:ascii="Arial" w:hAnsi="Arial" w:cs="Arial"/>
          <w:sz w:val="20"/>
          <w:szCs w:val="20"/>
        </w:rPr>
        <w:t>Venous/arterial pH below 7.1</w:t>
      </w:r>
    </w:p>
    <w:p w:rsidR="00BF4105" w:rsidRPr="00A07233" w:rsidRDefault="00BF4105" w:rsidP="00BF4105">
      <w:pPr>
        <w:numPr>
          <w:ilvl w:val="0"/>
          <w:numId w:val="3"/>
        </w:numPr>
        <w:jc w:val="both"/>
        <w:rPr>
          <w:rFonts w:ascii="Arial" w:hAnsi="Arial" w:cs="Arial"/>
          <w:sz w:val="20"/>
          <w:szCs w:val="20"/>
        </w:rPr>
      </w:pPr>
      <w:proofErr w:type="spellStart"/>
      <w:r w:rsidRPr="00A07233">
        <w:rPr>
          <w:rFonts w:ascii="Arial" w:hAnsi="Arial" w:cs="Arial"/>
          <w:sz w:val="20"/>
          <w:szCs w:val="20"/>
        </w:rPr>
        <w:t>Hypokalaemia</w:t>
      </w:r>
      <w:proofErr w:type="spellEnd"/>
      <w:r w:rsidRPr="00A07233">
        <w:rPr>
          <w:rFonts w:ascii="Arial" w:hAnsi="Arial" w:cs="Arial"/>
          <w:sz w:val="20"/>
          <w:szCs w:val="20"/>
        </w:rPr>
        <w:t xml:space="preserve"> on admission (under 3.5mmol/L)</w:t>
      </w:r>
    </w:p>
    <w:p w:rsidR="00BF4105" w:rsidRPr="00A07233" w:rsidRDefault="00BF4105" w:rsidP="00BF4105">
      <w:pPr>
        <w:numPr>
          <w:ilvl w:val="0"/>
          <w:numId w:val="3"/>
        </w:numPr>
        <w:jc w:val="both"/>
        <w:rPr>
          <w:rFonts w:ascii="Arial" w:hAnsi="Arial" w:cs="Arial"/>
          <w:sz w:val="20"/>
          <w:szCs w:val="20"/>
        </w:rPr>
      </w:pPr>
      <w:r w:rsidRPr="00A07233">
        <w:rPr>
          <w:rFonts w:ascii="Arial" w:hAnsi="Arial" w:cs="Arial"/>
          <w:sz w:val="20"/>
          <w:szCs w:val="20"/>
        </w:rPr>
        <w:t>GCS less than 12 or abnormal AVPU scale</w:t>
      </w:r>
    </w:p>
    <w:p w:rsidR="00BF4105" w:rsidRPr="00A07233" w:rsidRDefault="00BF4105" w:rsidP="00BF4105">
      <w:pPr>
        <w:numPr>
          <w:ilvl w:val="0"/>
          <w:numId w:val="3"/>
        </w:numPr>
        <w:jc w:val="both"/>
        <w:rPr>
          <w:rFonts w:ascii="Arial" w:hAnsi="Arial" w:cs="Arial"/>
          <w:sz w:val="20"/>
          <w:szCs w:val="20"/>
        </w:rPr>
      </w:pPr>
      <w:r w:rsidRPr="00A07233">
        <w:rPr>
          <w:rFonts w:ascii="Arial" w:hAnsi="Arial" w:cs="Arial"/>
          <w:sz w:val="20"/>
          <w:szCs w:val="20"/>
        </w:rPr>
        <w:t>Oxygen saturation below 92% on air (assuming normal baseline respiratory function)</w:t>
      </w:r>
    </w:p>
    <w:p w:rsidR="00BF4105" w:rsidRPr="00A07233" w:rsidRDefault="00BF4105" w:rsidP="00BF4105">
      <w:pPr>
        <w:numPr>
          <w:ilvl w:val="0"/>
          <w:numId w:val="3"/>
        </w:numPr>
        <w:jc w:val="both"/>
        <w:rPr>
          <w:rFonts w:ascii="Arial" w:hAnsi="Arial" w:cs="Arial"/>
          <w:sz w:val="20"/>
          <w:szCs w:val="20"/>
        </w:rPr>
      </w:pPr>
      <w:r w:rsidRPr="00A07233">
        <w:rPr>
          <w:rFonts w:ascii="Arial" w:hAnsi="Arial" w:cs="Arial"/>
          <w:sz w:val="20"/>
          <w:szCs w:val="20"/>
        </w:rPr>
        <w:t>Systolic BP below 90mmHg, Pulse over 100 or below 60bpm</w:t>
      </w:r>
    </w:p>
    <w:p w:rsidR="00BF4105" w:rsidRPr="00A07233" w:rsidRDefault="00BF4105" w:rsidP="00BF4105">
      <w:pPr>
        <w:numPr>
          <w:ilvl w:val="0"/>
          <w:numId w:val="3"/>
        </w:numPr>
        <w:jc w:val="both"/>
        <w:rPr>
          <w:rFonts w:ascii="Arial" w:hAnsi="Arial" w:cs="Arial"/>
          <w:sz w:val="20"/>
          <w:szCs w:val="20"/>
        </w:rPr>
      </w:pPr>
      <w:r w:rsidRPr="00A07233">
        <w:rPr>
          <w:rFonts w:ascii="Arial" w:hAnsi="Arial" w:cs="Arial"/>
          <w:sz w:val="20"/>
          <w:szCs w:val="20"/>
        </w:rPr>
        <w:t>Anion gap above 16 [Anion Gap = (Na+ + K+) – (</w:t>
      </w:r>
      <w:proofErr w:type="spellStart"/>
      <w:r w:rsidRPr="00A07233">
        <w:rPr>
          <w:rFonts w:ascii="Arial" w:hAnsi="Arial" w:cs="Arial"/>
          <w:sz w:val="20"/>
          <w:szCs w:val="20"/>
        </w:rPr>
        <w:t>Cl</w:t>
      </w:r>
      <w:proofErr w:type="spellEnd"/>
      <w:r w:rsidRPr="00A07233">
        <w:rPr>
          <w:rFonts w:ascii="Arial" w:hAnsi="Arial" w:cs="Arial"/>
          <w:sz w:val="20"/>
          <w:szCs w:val="20"/>
        </w:rPr>
        <w:t>- + HCO3-) ]</w:t>
      </w:r>
    </w:p>
    <w:p w:rsidR="009D2AA8" w:rsidRPr="00A07233" w:rsidRDefault="009D2AA8" w:rsidP="00BF4105">
      <w:pPr>
        <w:numPr>
          <w:ilvl w:val="0"/>
          <w:numId w:val="3"/>
        </w:numPr>
        <w:jc w:val="both"/>
        <w:rPr>
          <w:rFonts w:ascii="Arial" w:hAnsi="Arial" w:cs="Arial"/>
          <w:sz w:val="20"/>
          <w:szCs w:val="20"/>
        </w:rPr>
      </w:pPr>
      <w:r w:rsidRPr="00A07233">
        <w:rPr>
          <w:rFonts w:ascii="Arial" w:hAnsi="Arial" w:cs="Arial"/>
          <w:sz w:val="20"/>
          <w:szCs w:val="20"/>
        </w:rPr>
        <w:t>Cerebral Oedema</w:t>
      </w:r>
    </w:p>
    <w:p w:rsidR="00BF4105" w:rsidRPr="00A07233" w:rsidRDefault="00BF4105" w:rsidP="00A07233">
      <w:pPr>
        <w:pStyle w:val="Heading2"/>
        <w:shd w:val="clear" w:color="auto" w:fill="FFFFFF"/>
        <w:rPr>
          <w:color w:val="333333"/>
          <w:sz w:val="34"/>
          <w:szCs w:val="34"/>
        </w:rPr>
      </w:pPr>
      <w:r w:rsidRPr="00A07233">
        <w:rPr>
          <w:color w:val="333333"/>
          <w:sz w:val="34"/>
          <w:szCs w:val="34"/>
        </w:rPr>
        <w:t>CARE PATHWAYS</w:t>
      </w:r>
    </w:p>
    <w:p w:rsidR="00BF4105" w:rsidRPr="00A07233" w:rsidRDefault="00BF4105" w:rsidP="00BF4105">
      <w:pPr>
        <w:jc w:val="both"/>
        <w:rPr>
          <w:rFonts w:ascii="Arial" w:hAnsi="Arial" w:cs="Arial"/>
          <w:sz w:val="20"/>
          <w:szCs w:val="20"/>
        </w:rPr>
      </w:pPr>
      <w:r w:rsidRPr="00A07233">
        <w:rPr>
          <w:rFonts w:ascii="Arial" w:hAnsi="Arial" w:cs="Arial"/>
          <w:sz w:val="20"/>
          <w:szCs w:val="20"/>
        </w:rPr>
        <w:t xml:space="preserve">The protocol for the emergency management of DKA should be used for all eligible patients (for paediatric DKA management guidance go to </w:t>
      </w:r>
      <w:hyperlink r:id="rId5" w:history="1">
        <w:r w:rsidR="0048568B" w:rsidRPr="00A07233">
          <w:rPr>
            <w:rStyle w:val="Hyperlink"/>
            <w:rFonts w:ascii="Arial" w:hAnsi="Arial" w:cs="Arial"/>
            <w:sz w:val="20"/>
            <w:szCs w:val="20"/>
          </w:rPr>
          <w:t>http://www.diabetes-scotland.org/ggc/html_pages/protocol.php</w:t>
        </w:r>
      </w:hyperlink>
      <w:r w:rsidR="0048568B" w:rsidRPr="00A07233">
        <w:rPr>
          <w:rFonts w:ascii="Arial" w:hAnsi="Arial" w:cs="Arial"/>
          <w:sz w:val="20"/>
          <w:szCs w:val="20"/>
        </w:rPr>
        <w:t xml:space="preserve"> </w:t>
      </w:r>
      <w:r w:rsidRPr="00A07233">
        <w:rPr>
          <w:rFonts w:ascii="Arial" w:hAnsi="Arial" w:cs="Arial"/>
          <w:sz w:val="20"/>
          <w:szCs w:val="20"/>
        </w:rPr>
        <w:t>).  With the protocol the care pathways for 0 – 4 hours and 4 hours – discharge should be completed for each DKA episode.  These provide instruction on fluid balance, insulin and potassium replacement.</w:t>
      </w:r>
      <w:r w:rsidR="007F0808" w:rsidRPr="00A07233">
        <w:rPr>
          <w:rFonts w:ascii="Arial" w:hAnsi="Arial" w:cs="Arial"/>
          <w:sz w:val="20"/>
          <w:szCs w:val="20"/>
        </w:rPr>
        <w:t xml:space="preserve"> Please note there are DKA order sets on </w:t>
      </w:r>
      <w:proofErr w:type="spellStart"/>
      <w:r w:rsidR="007F0808" w:rsidRPr="00A07233">
        <w:rPr>
          <w:rFonts w:ascii="Arial" w:hAnsi="Arial" w:cs="Arial"/>
          <w:sz w:val="20"/>
          <w:szCs w:val="20"/>
        </w:rPr>
        <w:t>trakcare</w:t>
      </w:r>
      <w:proofErr w:type="spellEnd"/>
      <w:r w:rsidR="007F0808" w:rsidRPr="00A07233">
        <w:rPr>
          <w:rFonts w:ascii="Arial" w:hAnsi="Arial" w:cs="Arial"/>
          <w:sz w:val="20"/>
          <w:szCs w:val="20"/>
        </w:rPr>
        <w:t xml:space="preserve"> (DKA baseline and DKA continuing care).</w:t>
      </w:r>
    </w:p>
    <w:p w:rsidR="00BF4105" w:rsidRPr="00A1415A" w:rsidRDefault="00BF4105" w:rsidP="00BF4105">
      <w:pPr>
        <w:jc w:val="both"/>
        <w:rPr>
          <w:rFonts w:ascii="Arial" w:hAnsi="Arial" w:cs="Arial"/>
        </w:rPr>
      </w:pPr>
    </w:p>
    <w:p w:rsidR="00BF4105" w:rsidRPr="00A1415A" w:rsidRDefault="00F84163" w:rsidP="00BF4105">
      <w:pPr>
        <w:jc w:val="both"/>
        <w:rPr>
          <w:rFonts w:ascii="Arial" w:hAnsi="Arial" w:cs="Arial"/>
        </w:rPr>
      </w:pPr>
      <w:r w:rsidRPr="00F84163">
        <w:rPr>
          <w:noProof/>
        </w:rPr>
        <w:pict>
          <v:roundrect id="_x0000_s1026" style="position:absolute;left:0;text-align:left;margin-left:-6.45pt;margin-top:2.1pt;width:474.75pt;height:82.9pt;z-index:-251658752" arcsize="10923f">
            <w10:anchorlock/>
          </v:roundrect>
        </w:pict>
      </w:r>
    </w:p>
    <w:p w:rsidR="00BF4105" w:rsidRPr="003C233D" w:rsidRDefault="00BF4105" w:rsidP="00BF4105">
      <w:pPr>
        <w:jc w:val="both"/>
        <w:rPr>
          <w:rFonts w:ascii="Arial" w:hAnsi="Arial" w:cs="Arial"/>
          <w:sz w:val="22"/>
          <w:szCs w:val="22"/>
        </w:rPr>
      </w:pPr>
      <w:r w:rsidRPr="003C233D">
        <w:rPr>
          <w:rFonts w:ascii="Arial" w:hAnsi="Arial" w:cs="Arial"/>
          <w:sz w:val="22"/>
          <w:szCs w:val="22"/>
        </w:rPr>
        <w:t>The care pathways are available within relevant departments or online at:</w:t>
      </w:r>
    </w:p>
    <w:p w:rsidR="00BF4105" w:rsidRDefault="00BF4105" w:rsidP="00BF4105">
      <w:pPr>
        <w:jc w:val="both"/>
        <w:rPr>
          <w:rFonts w:ascii="Arial" w:hAnsi="Arial" w:cs="Arial"/>
          <w:sz w:val="22"/>
          <w:szCs w:val="22"/>
        </w:rPr>
      </w:pPr>
      <w:r w:rsidRPr="003C233D">
        <w:rPr>
          <w:rFonts w:ascii="Arial" w:hAnsi="Arial" w:cs="Arial"/>
          <w:sz w:val="22"/>
          <w:szCs w:val="22"/>
        </w:rPr>
        <w:t xml:space="preserve">Care pathway 0 </w:t>
      </w:r>
      <w:r w:rsidRPr="000B7E86">
        <w:rPr>
          <w:rFonts w:ascii="Arial" w:hAnsi="Arial" w:cs="Arial"/>
          <w:sz w:val="22"/>
          <w:szCs w:val="22"/>
        </w:rPr>
        <w:t>–</w:t>
      </w:r>
      <w:r w:rsidR="007466B6">
        <w:rPr>
          <w:rFonts w:ascii="Arial" w:hAnsi="Arial" w:cs="Arial"/>
          <w:sz w:val="22"/>
          <w:szCs w:val="22"/>
        </w:rPr>
        <w:t xml:space="preserve"> 4 hours and 4hrs to discharge</w:t>
      </w:r>
    </w:p>
    <w:p w:rsidR="007466B6" w:rsidRDefault="007466B6" w:rsidP="00BF4105">
      <w:pPr>
        <w:jc w:val="both"/>
        <w:rPr>
          <w:rFonts w:ascii="Arial" w:hAnsi="Arial" w:cs="Arial"/>
          <w:sz w:val="22"/>
          <w:szCs w:val="22"/>
        </w:rPr>
      </w:pPr>
    </w:p>
    <w:p w:rsidR="007466B6" w:rsidRPr="007466B6" w:rsidRDefault="007466B6" w:rsidP="007466B6">
      <w:pPr>
        <w:spacing w:after="200" w:line="276" w:lineRule="auto"/>
        <w:rPr>
          <w:rFonts w:ascii="Arial" w:eastAsia="Calibri" w:hAnsi="Arial" w:cs="Arial"/>
          <w:i/>
          <w:color w:val="8DB3E2"/>
          <w:sz w:val="22"/>
          <w:szCs w:val="22"/>
          <w:lang w:eastAsia="en-US"/>
        </w:rPr>
      </w:pPr>
      <w:r w:rsidRPr="007466B6">
        <w:rPr>
          <w:rFonts w:ascii="Arial" w:eastAsia="Calibri" w:hAnsi="Arial" w:cs="Arial"/>
          <w:i/>
          <w:color w:val="8DB3E2"/>
          <w:sz w:val="22"/>
          <w:szCs w:val="22"/>
          <w:lang w:eastAsia="en-US"/>
        </w:rPr>
        <w:t>Link to DKAP1_Revised4 SL</w:t>
      </w:r>
    </w:p>
    <w:p w:rsidR="007466B6" w:rsidRDefault="007466B6" w:rsidP="00BF4105"/>
    <w:p w:rsidR="007466B6" w:rsidRDefault="007466B6" w:rsidP="00BF4105"/>
    <w:p w:rsidR="007466B6" w:rsidRDefault="007466B6" w:rsidP="00BF4105"/>
    <w:p w:rsidR="007466B6" w:rsidRDefault="007466B6" w:rsidP="00BF4105"/>
    <w:p w:rsidR="00BF4105" w:rsidRPr="00A07233" w:rsidRDefault="00BF4105" w:rsidP="00BF4105">
      <w:pPr>
        <w:rPr>
          <w:rFonts w:ascii="Arial" w:hAnsi="Arial" w:cs="Arial"/>
          <w:b/>
          <w:bCs/>
          <w:sz w:val="20"/>
          <w:szCs w:val="20"/>
        </w:rPr>
      </w:pPr>
      <w:r w:rsidRPr="00A07233">
        <w:rPr>
          <w:rFonts w:ascii="Arial" w:hAnsi="Arial" w:cs="Arial"/>
          <w:b/>
          <w:bCs/>
          <w:sz w:val="20"/>
          <w:szCs w:val="20"/>
        </w:rPr>
        <w:t xml:space="preserve">In patients aged 13-16 years presenting with DKA, the management of DKA should be discussed with relevant paediatric staff. </w:t>
      </w:r>
    </w:p>
    <w:p w:rsidR="00BF4105" w:rsidRDefault="00BF4105" w:rsidP="00BF4105">
      <w:pPr>
        <w:jc w:val="both"/>
        <w:rPr>
          <w:rFonts w:ascii="Arial" w:hAnsi="Arial" w:cs="Arial"/>
          <w:b/>
          <w:bCs/>
        </w:rPr>
      </w:pPr>
    </w:p>
    <w:p w:rsidR="00BF4105" w:rsidRDefault="00BF4105" w:rsidP="00BF4105">
      <w:pPr>
        <w:jc w:val="both"/>
        <w:rPr>
          <w:rFonts w:ascii="Arial" w:hAnsi="Arial" w:cs="Arial"/>
          <w:b/>
          <w:bCs/>
        </w:rPr>
      </w:pPr>
    </w:p>
    <w:p w:rsidR="009D2AA8" w:rsidRDefault="009D2AA8" w:rsidP="009D2AA8">
      <w:pPr>
        <w:pStyle w:val="Heading2"/>
        <w:shd w:val="clear" w:color="auto" w:fill="FFFFFF"/>
        <w:rPr>
          <w:color w:val="333333"/>
          <w:sz w:val="34"/>
          <w:szCs w:val="34"/>
        </w:rPr>
      </w:pPr>
      <w:r>
        <w:rPr>
          <w:color w:val="333333"/>
          <w:sz w:val="34"/>
          <w:szCs w:val="34"/>
        </w:rPr>
        <w:lastRenderedPageBreak/>
        <w:t>Supplementary notes as per Care Pathway 0–4 hours</w:t>
      </w:r>
    </w:p>
    <w:p w:rsidR="00784D17" w:rsidRDefault="00784D17" w:rsidP="00784D17">
      <w:pPr>
        <w:numPr>
          <w:ilvl w:val="0"/>
          <w:numId w:val="4"/>
        </w:numPr>
        <w:jc w:val="both"/>
        <w:rPr>
          <w:rFonts w:ascii="Arial" w:hAnsi="Arial" w:cs="Arial"/>
          <w:color w:val="505051"/>
          <w:sz w:val="20"/>
          <w:szCs w:val="20"/>
        </w:rPr>
      </w:pPr>
      <w:r w:rsidRPr="00784D17">
        <w:rPr>
          <w:rStyle w:val="Strong"/>
          <w:rFonts w:ascii="Arial" w:hAnsi="Arial" w:cs="Arial"/>
          <w:color w:val="505051"/>
          <w:sz w:val="20"/>
          <w:szCs w:val="20"/>
        </w:rPr>
        <w:t>Continue background subcutaneous insulin</w:t>
      </w:r>
      <w:r w:rsidRPr="00784D17">
        <w:rPr>
          <w:rStyle w:val="Strong"/>
          <w:color w:val="505051"/>
          <w:sz w:val="20"/>
          <w:szCs w:val="20"/>
        </w:rPr>
        <w:t xml:space="preserve"> </w:t>
      </w:r>
      <w:r w:rsidRPr="00784D17">
        <w:rPr>
          <w:rFonts w:ascii="Arial" w:hAnsi="Arial" w:cs="Arial"/>
          <w:color w:val="505051"/>
          <w:sz w:val="20"/>
          <w:szCs w:val="20"/>
        </w:rPr>
        <w:t>(</w:t>
      </w:r>
      <w:proofErr w:type="spellStart"/>
      <w:r w:rsidRPr="00784D17">
        <w:rPr>
          <w:rFonts w:ascii="Arial" w:hAnsi="Arial" w:cs="Arial"/>
          <w:color w:val="505051"/>
          <w:sz w:val="20"/>
          <w:szCs w:val="20"/>
        </w:rPr>
        <w:t>glargine</w:t>
      </w:r>
      <w:proofErr w:type="spellEnd"/>
      <w:r w:rsidRPr="00784D17">
        <w:rPr>
          <w:rFonts w:ascii="Arial" w:hAnsi="Arial" w:cs="Arial"/>
          <w:color w:val="505051"/>
          <w:sz w:val="20"/>
          <w:szCs w:val="20"/>
        </w:rPr>
        <w:t xml:space="preserve">, </w:t>
      </w:r>
      <w:proofErr w:type="spellStart"/>
      <w:r w:rsidRPr="00784D17">
        <w:rPr>
          <w:rFonts w:ascii="Arial" w:hAnsi="Arial" w:cs="Arial"/>
          <w:color w:val="505051"/>
          <w:sz w:val="20"/>
          <w:szCs w:val="20"/>
        </w:rPr>
        <w:t>levemir</w:t>
      </w:r>
      <w:proofErr w:type="spellEnd"/>
      <w:r w:rsidRPr="00784D17">
        <w:rPr>
          <w:rFonts w:ascii="Arial" w:hAnsi="Arial" w:cs="Arial"/>
          <w:color w:val="505051"/>
          <w:sz w:val="20"/>
          <w:szCs w:val="20"/>
        </w:rPr>
        <w:t xml:space="preserve">, </w:t>
      </w:r>
      <w:proofErr w:type="spellStart"/>
      <w:r w:rsidRPr="00784D17">
        <w:rPr>
          <w:rFonts w:ascii="Arial" w:hAnsi="Arial" w:cs="Arial"/>
          <w:color w:val="505051"/>
          <w:sz w:val="20"/>
          <w:szCs w:val="20"/>
        </w:rPr>
        <w:t>degludec</w:t>
      </w:r>
      <w:proofErr w:type="spellEnd"/>
      <w:r w:rsidRPr="00784D17">
        <w:rPr>
          <w:rFonts w:ascii="Arial" w:hAnsi="Arial" w:cs="Arial"/>
          <w:color w:val="505051"/>
          <w:sz w:val="20"/>
          <w:szCs w:val="20"/>
        </w:rPr>
        <w:t xml:space="preserve">, </w:t>
      </w:r>
      <w:proofErr w:type="spellStart"/>
      <w:r w:rsidRPr="00784D17">
        <w:rPr>
          <w:rFonts w:ascii="Arial" w:hAnsi="Arial" w:cs="Arial"/>
          <w:color w:val="505051"/>
          <w:sz w:val="20"/>
          <w:szCs w:val="20"/>
        </w:rPr>
        <w:t>isophane</w:t>
      </w:r>
      <w:proofErr w:type="spellEnd"/>
      <w:r w:rsidRPr="00784D17">
        <w:rPr>
          <w:rFonts w:ascii="Arial" w:hAnsi="Arial" w:cs="Arial"/>
          <w:color w:val="505051"/>
          <w:sz w:val="20"/>
          <w:szCs w:val="20"/>
        </w:rPr>
        <w:t xml:space="preserve"> insulin) while on fixed rate intravenous insulin. Stop CSII infusion pump in DKA. Do not re-start CSII without specialist diabetic input.</w:t>
      </w:r>
    </w:p>
    <w:p w:rsidR="00784D17" w:rsidRPr="00784D17" w:rsidRDefault="00784D17" w:rsidP="00784D17">
      <w:pPr>
        <w:ind w:left="375"/>
        <w:jc w:val="both"/>
        <w:rPr>
          <w:rFonts w:ascii="Arial" w:hAnsi="Arial" w:cs="Arial"/>
          <w:color w:val="505051"/>
          <w:sz w:val="20"/>
          <w:szCs w:val="20"/>
        </w:rPr>
      </w:pPr>
    </w:p>
    <w:p w:rsidR="009D2AA8" w:rsidRDefault="009D2AA8" w:rsidP="009D2AA8">
      <w:pPr>
        <w:numPr>
          <w:ilvl w:val="0"/>
          <w:numId w:val="4"/>
        </w:numPr>
        <w:shd w:val="clear" w:color="auto" w:fill="FFFFFF"/>
        <w:spacing w:before="45" w:after="45" w:line="324" w:lineRule="auto"/>
        <w:rPr>
          <w:rFonts w:ascii="Arial" w:hAnsi="Arial" w:cs="Arial"/>
          <w:color w:val="505051"/>
          <w:sz w:val="20"/>
          <w:szCs w:val="20"/>
        </w:rPr>
      </w:pPr>
      <w:r>
        <w:rPr>
          <w:rStyle w:val="Strong"/>
          <w:rFonts w:ascii="Arial" w:hAnsi="Arial" w:cs="Arial"/>
          <w:color w:val="505051"/>
          <w:sz w:val="20"/>
          <w:szCs w:val="20"/>
        </w:rPr>
        <w:t>Guidance on bicarbonate:</w:t>
      </w:r>
      <w:r>
        <w:rPr>
          <w:rFonts w:ascii="Arial" w:hAnsi="Arial" w:cs="Arial"/>
          <w:color w:val="505051"/>
          <w:sz w:val="20"/>
          <w:szCs w:val="20"/>
        </w:rPr>
        <w:t xml:space="preserve"> Do not use bicarbonate.</w:t>
      </w:r>
    </w:p>
    <w:p w:rsidR="009D2AA8" w:rsidRDefault="009D2AA8" w:rsidP="009D2AA8">
      <w:pPr>
        <w:numPr>
          <w:ilvl w:val="0"/>
          <w:numId w:val="4"/>
        </w:numPr>
        <w:shd w:val="clear" w:color="auto" w:fill="FFFFFF"/>
        <w:spacing w:before="45" w:after="45" w:line="324" w:lineRule="auto"/>
        <w:rPr>
          <w:rFonts w:ascii="Arial" w:hAnsi="Arial" w:cs="Arial"/>
          <w:color w:val="505051"/>
          <w:sz w:val="20"/>
          <w:szCs w:val="20"/>
        </w:rPr>
      </w:pPr>
      <w:r>
        <w:rPr>
          <w:rStyle w:val="Strong"/>
          <w:rFonts w:ascii="Arial" w:hAnsi="Arial" w:cs="Arial"/>
          <w:color w:val="505051"/>
          <w:sz w:val="20"/>
          <w:szCs w:val="20"/>
        </w:rPr>
        <w:t>Potassium replacement:</w:t>
      </w:r>
      <w:r>
        <w:rPr>
          <w:rFonts w:ascii="Arial" w:hAnsi="Arial" w:cs="Arial"/>
          <w:color w:val="505051"/>
          <w:sz w:val="20"/>
          <w:szCs w:val="20"/>
        </w:rPr>
        <w:t xml:space="preserve"> administer at rate &lt;20mmol/hour of </w:t>
      </w:r>
      <w:proofErr w:type="spellStart"/>
      <w:r>
        <w:rPr>
          <w:rFonts w:ascii="Arial" w:hAnsi="Arial" w:cs="Arial"/>
          <w:color w:val="505051"/>
          <w:sz w:val="20"/>
          <w:szCs w:val="20"/>
        </w:rPr>
        <w:t>KCl</w:t>
      </w:r>
      <w:proofErr w:type="spellEnd"/>
      <w:r>
        <w:rPr>
          <w:rFonts w:ascii="Arial" w:hAnsi="Arial" w:cs="Arial"/>
          <w:color w:val="505051"/>
          <w:sz w:val="20"/>
          <w:szCs w:val="20"/>
        </w:rPr>
        <w:t>.</w:t>
      </w:r>
    </w:p>
    <w:p w:rsidR="009D2AA8" w:rsidRDefault="009D2AA8" w:rsidP="009D2AA8">
      <w:pPr>
        <w:numPr>
          <w:ilvl w:val="0"/>
          <w:numId w:val="4"/>
        </w:numPr>
        <w:shd w:val="clear" w:color="auto" w:fill="FFFFFF"/>
        <w:spacing w:before="45" w:after="45" w:line="324" w:lineRule="auto"/>
        <w:rPr>
          <w:rFonts w:ascii="Arial" w:hAnsi="Arial" w:cs="Arial"/>
          <w:color w:val="505051"/>
          <w:sz w:val="20"/>
          <w:szCs w:val="20"/>
        </w:rPr>
      </w:pPr>
      <w:r>
        <w:rPr>
          <w:rStyle w:val="Strong"/>
          <w:rFonts w:ascii="Arial" w:hAnsi="Arial" w:cs="Arial"/>
          <w:color w:val="505051"/>
          <w:sz w:val="20"/>
          <w:szCs w:val="20"/>
        </w:rPr>
        <w:t>WBC count:</w:t>
      </w:r>
      <w:r>
        <w:rPr>
          <w:rFonts w:ascii="Arial" w:hAnsi="Arial" w:cs="Arial"/>
          <w:color w:val="505051"/>
          <w:sz w:val="20"/>
          <w:szCs w:val="20"/>
        </w:rPr>
        <w:t xml:space="preserve"> This is often raised in DKA. Only give antibiotics if there is clear evidence of infection.</w:t>
      </w:r>
    </w:p>
    <w:p w:rsidR="009D2AA8" w:rsidRDefault="009D2AA8" w:rsidP="009D2AA8">
      <w:pPr>
        <w:numPr>
          <w:ilvl w:val="0"/>
          <w:numId w:val="4"/>
        </w:numPr>
        <w:shd w:val="clear" w:color="auto" w:fill="FFFFFF"/>
        <w:spacing w:before="45" w:after="45" w:line="324" w:lineRule="auto"/>
        <w:rPr>
          <w:rFonts w:ascii="Arial" w:hAnsi="Arial" w:cs="Arial"/>
          <w:color w:val="505051"/>
          <w:sz w:val="20"/>
          <w:szCs w:val="20"/>
        </w:rPr>
      </w:pPr>
      <w:r>
        <w:rPr>
          <w:rStyle w:val="Strong"/>
          <w:rFonts w:ascii="Arial" w:hAnsi="Arial" w:cs="Arial"/>
          <w:color w:val="505051"/>
          <w:sz w:val="20"/>
          <w:szCs w:val="20"/>
        </w:rPr>
        <w:t>Blood glucose &gt;14mmol/L:</w:t>
      </w:r>
      <w:r>
        <w:rPr>
          <w:rFonts w:ascii="Arial" w:hAnsi="Arial" w:cs="Arial"/>
          <w:color w:val="505051"/>
          <w:sz w:val="20"/>
          <w:szCs w:val="20"/>
        </w:rPr>
        <w:t xml:space="preserve"> If this rises &gt;14mmol/L do not stop glucose, adjust insulin to maintain level between 9–14mmol/L. See guidance above regarding insulin dose adjustment. </w:t>
      </w:r>
      <w:r>
        <w:rPr>
          <w:rStyle w:val="Emphasis"/>
          <w:rFonts w:ascii="Arial" w:hAnsi="Arial" w:cs="Arial"/>
          <w:color w:val="505051"/>
          <w:sz w:val="20"/>
          <w:szCs w:val="20"/>
        </w:rPr>
        <w:t>Do not stop glucose once started.</w:t>
      </w:r>
    </w:p>
    <w:p w:rsidR="009D2AA8" w:rsidRDefault="009D2AA8" w:rsidP="009D2AA8">
      <w:pPr>
        <w:numPr>
          <w:ilvl w:val="0"/>
          <w:numId w:val="4"/>
        </w:numPr>
        <w:shd w:val="clear" w:color="auto" w:fill="FFFFFF"/>
        <w:spacing w:before="45" w:after="45" w:line="324" w:lineRule="auto"/>
        <w:rPr>
          <w:rFonts w:ascii="Arial" w:hAnsi="Arial" w:cs="Arial"/>
          <w:color w:val="505051"/>
          <w:sz w:val="20"/>
          <w:szCs w:val="20"/>
        </w:rPr>
      </w:pPr>
      <w:r>
        <w:rPr>
          <w:rStyle w:val="Strong"/>
          <w:rFonts w:ascii="Arial" w:hAnsi="Arial" w:cs="Arial"/>
          <w:color w:val="505051"/>
          <w:sz w:val="20"/>
          <w:szCs w:val="20"/>
        </w:rPr>
        <w:t>Signs of cerebral oedema:</w:t>
      </w:r>
      <w:r>
        <w:rPr>
          <w:rFonts w:ascii="Arial" w:hAnsi="Arial" w:cs="Arial"/>
          <w:color w:val="505051"/>
          <w:sz w:val="20"/>
          <w:szCs w:val="20"/>
        </w:rPr>
        <w:t xml:space="preserve"> Children and adolescents are at the highest risk. Consider if headaches, or reduced conscious level. Monitoring for signs of cerebral oedema should start from the time of admission and should continue until up to at least 12 hours after admission. If there is a suspicion of cerebral oedema or the patient is not improving as expected, within 4 hours of admission, call the consultant. Consider ITU (check arterial blood gases). Administer: </w:t>
      </w:r>
    </w:p>
    <w:p w:rsidR="009D2AA8" w:rsidRDefault="009D2AA8" w:rsidP="009D2AA8">
      <w:pPr>
        <w:numPr>
          <w:ilvl w:val="1"/>
          <w:numId w:val="4"/>
        </w:numPr>
        <w:shd w:val="clear" w:color="auto" w:fill="FFFFFF"/>
        <w:spacing w:before="45" w:after="45" w:line="324" w:lineRule="auto"/>
        <w:ind w:left="555"/>
        <w:rPr>
          <w:rFonts w:ascii="Arial" w:hAnsi="Arial" w:cs="Arial"/>
          <w:color w:val="656567"/>
          <w:sz w:val="20"/>
          <w:szCs w:val="20"/>
        </w:rPr>
      </w:pPr>
      <w:proofErr w:type="spellStart"/>
      <w:r>
        <w:rPr>
          <w:rStyle w:val="bold1"/>
          <w:rFonts w:ascii="Arial" w:hAnsi="Arial" w:cs="Arial"/>
          <w:color w:val="656567"/>
          <w:sz w:val="20"/>
          <w:szCs w:val="20"/>
        </w:rPr>
        <w:t>Mannitol</w:t>
      </w:r>
      <w:proofErr w:type="spellEnd"/>
      <w:r>
        <w:rPr>
          <w:rStyle w:val="bold1"/>
          <w:rFonts w:ascii="Arial" w:hAnsi="Arial" w:cs="Arial"/>
          <w:color w:val="656567"/>
          <w:sz w:val="20"/>
          <w:szCs w:val="20"/>
        </w:rPr>
        <w:t xml:space="preserve"> IV (100ml of 20% over 20 minutes) or </w:t>
      </w:r>
      <w:proofErr w:type="spellStart"/>
      <w:r>
        <w:rPr>
          <w:rStyle w:val="bold1"/>
          <w:rFonts w:ascii="Arial" w:hAnsi="Arial" w:cs="Arial"/>
          <w:color w:val="656567"/>
          <w:sz w:val="20"/>
          <w:szCs w:val="20"/>
        </w:rPr>
        <w:t>dexamethasone</w:t>
      </w:r>
      <w:proofErr w:type="spellEnd"/>
      <w:r>
        <w:rPr>
          <w:rStyle w:val="bold1"/>
          <w:rFonts w:ascii="Arial" w:hAnsi="Arial" w:cs="Arial"/>
          <w:color w:val="656567"/>
          <w:sz w:val="20"/>
          <w:szCs w:val="20"/>
        </w:rPr>
        <w:t xml:space="preserve"> IV 8mg (discuss with consultant)</w:t>
      </w:r>
      <w:r>
        <w:rPr>
          <w:rFonts w:ascii="Arial" w:hAnsi="Arial" w:cs="Arial"/>
          <w:color w:val="656567"/>
          <w:sz w:val="20"/>
          <w:szCs w:val="20"/>
        </w:rPr>
        <w:t xml:space="preserve"> and undertake CT scan to confirm findings.</w:t>
      </w:r>
    </w:p>
    <w:p w:rsidR="009D2AA8" w:rsidRDefault="009D2AA8" w:rsidP="009D2AA8">
      <w:pPr>
        <w:numPr>
          <w:ilvl w:val="0"/>
          <w:numId w:val="4"/>
        </w:numPr>
        <w:shd w:val="clear" w:color="auto" w:fill="FFFFFF"/>
        <w:spacing w:before="45" w:after="45" w:line="324" w:lineRule="auto"/>
        <w:rPr>
          <w:rFonts w:ascii="Arial" w:hAnsi="Arial" w:cs="Arial"/>
          <w:color w:val="505051"/>
          <w:sz w:val="20"/>
          <w:szCs w:val="20"/>
        </w:rPr>
      </w:pPr>
      <w:r>
        <w:rPr>
          <w:rStyle w:val="Strong"/>
          <w:rFonts w:ascii="Arial" w:hAnsi="Arial" w:cs="Arial"/>
          <w:color w:val="505051"/>
          <w:sz w:val="20"/>
          <w:szCs w:val="20"/>
        </w:rPr>
        <w:t>Laboratory blood glucose testing:</w:t>
      </w:r>
      <w:r>
        <w:rPr>
          <w:rFonts w:ascii="Arial" w:hAnsi="Arial" w:cs="Arial"/>
          <w:color w:val="505051"/>
          <w:sz w:val="20"/>
          <w:szCs w:val="20"/>
        </w:rPr>
        <w:t xml:space="preserve"> It is reasonable to use a point-of-care blood glucose meter to monitor BG level if the previous laboratory BG value is &lt;20mmol/L.</w:t>
      </w:r>
    </w:p>
    <w:p w:rsidR="009D2AA8" w:rsidRDefault="009D2AA8" w:rsidP="009D2AA8">
      <w:pPr>
        <w:numPr>
          <w:ilvl w:val="0"/>
          <w:numId w:val="4"/>
        </w:numPr>
        <w:shd w:val="clear" w:color="auto" w:fill="FFFFFF"/>
        <w:spacing w:before="45" w:after="45" w:line="324" w:lineRule="auto"/>
        <w:rPr>
          <w:rFonts w:ascii="Arial" w:hAnsi="Arial" w:cs="Arial"/>
          <w:color w:val="505051"/>
          <w:sz w:val="20"/>
          <w:szCs w:val="20"/>
        </w:rPr>
      </w:pPr>
      <w:r>
        <w:rPr>
          <w:rStyle w:val="Strong"/>
          <w:rFonts w:ascii="Arial" w:hAnsi="Arial" w:cs="Arial"/>
          <w:color w:val="505051"/>
          <w:sz w:val="20"/>
          <w:szCs w:val="20"/>
        </w:rPr>
        <w:t>Insulin management:</w:t>
      </w:r>
      <w:r>
        <w:rPr>
          <w:rFonts w:ascii="Arial" w:hAnsi="Arial" w:cs="Arial"/>
          <w:color w:val="505051"/>
          <w:sz w:val="20"/>
          <w:szCs w:val="20"/>
        </w:rPr>
        <w:t xml:space="preserve"> Insulin should be prescribed, beginning at 6units/hour. Rate will generally be reduced with time depending on clinical circumstances, presence of long-acting insulin and to avoid a fall of &gt;5mmol/L per hour as rapid falls in blood glucose may be associated with cerebral oedema.</w:t>
      </w:r>
    </w:p>
    <w:p w:rsidR="009D2AA8" w:rsidRDefault="009D2AA8" w:rsidP="009D2AA8">
      <w:pPr>
        <w:numPr>
          <w:ilvl w:val="0"/>
          <w:numId w:val="4"/>
        </w:numPr>
        <w:shd w:val="clear" w:color="auto" w:fill="FFFFFF"/>
        <w:spacing w:before="45" w:after="45" w:line="324" w:lineRule="auto"/>
        <w:rPr>
          <w:rFonts w:ascii="Arial" w:hAnsi="Arial" w:cs="Arial"/>
          <w:color w:val="505051"/>
          <w:sz w:val="20"/>
          <w:szCs w:val="20"/>
        </w:rPr>
      </w:pPr>
      <w:r>
        <w:rPr>
          <w:rStyle w:val="Strong"/>
          <w:rFonts w:ascii="Arial" w:hAnsi="Arial" w:cs="Arial"/>
          <w:color w:val="505051"/>
          <w:sz w:val="20"/>
          <w:szCs w:val="20"/>
        </w:rPr>
        <w:t>Assessment of response to insulin:</w:t>
      </w:r>
      <w:r>
        <w:rPr>
          <w:rFonts w:ascii="Arial" w:hAnsi="Arial" w:cs="Arial"/>
          <w:color w:val="505051"/>
          <w:sz w:val="20"/>
          <w:szCs w:val="20"/>
        </w:rPr>
        <w:t xml:space="preserve"> Sensitivity to insulin can vary markedly with time and between patients. If BG level is not falling, </w:t>
      </w:r>
      <w:r>
        <w:rPr>
          <w:rStyle w:val="Strong"/>
          <w:rFonts w:ascii="Arial" w:hAnsi="Arial" w:cs="Arial"/>
          <w:color w:val="505051"/>
          <w:sz w:val="20"/>
          <w:szCs w:val="20"/>
        </w:rPr>
        <w:t>always</w:t>
      </w:r>
      <w:r>
        <w:rPr>
          <w:rFonts w:ascii="Arial" w:hAnsi="Arial" w:cs="Arial"/>
          <w:color w:val="505051"/>
          <w:sz w:val="20"/>
          <w:szCs w:val="20"/>
        </w:rPr>
        <w:t xml:space="preserve"> check pump devices, IV lines and IV </w:t>
      </w:r>
      <w:proofErr w:type="spellStart"/>
      <w:r>
        <w:rPr>
          <w:rFonts w:ascii="Arial" w:hAnsi="Arial" w:cs="Arial"/>
          <w:color w:val="505051"/>
          <w:sz w:val="20"/>
          <w:szCs w:val="20"/>
        </w:rPr>
        <w:t>cannulae</w:t>
      </w:r>
      <w:proofErr w:type="spellEnd"/>
      <w:r>
        <w:rPr>
          <w:rFonts w:ascii="Arial" w:hAnsi="Arial" w:cs="Arial"/>
          <w:color w:val="505051"/>
          <w:sz w:val="20"/>
          <w:szCs w:val="20"/>
        </w:rPr>
        <w:t xml:space="preserve"> to ensure patients are getting prescribed insulin dose. Consider other causes that could be contributing: sepsis, steroid therapy, obesity or liver disease.</w:t>
      </w:r>
      <w:r w:rsidR="00784D17" w:rsidRPr="00784D17">
        <w:rPr>
          <w:rFonts w:ascii="Arial" w:hAnsi="Arial" w:cs="Arial"/>
        </w:rPr>
        <w:t xml:space="preserve"> </w:t>
      </w:r>
      <w:r w:rsidR="00784D17" w:rsidRPr="00784D17">
        <w:rPr>
          <w:rFonts w:ascii="Arial" w:hAnsi="Arial" w:cs="Arial"/>
          <w:color w:val="505051"/>
          <w:sz w:val="20"/>
          <w:szCs w:val="20"/>
        </w:rPr>
        <w:t>Higher doses of insulin are needed in adolescents, patients taking &gt;1 unit/kg in the basal state</w:t>
      </w:r>
      <w:r w:rsidR="00784D17">
        <w:rPr>
          <w:rFonts w:ascii="Arial" w:hAnsi="Arial" w:cs="Arial"/>
          <w:color w:val="505051"/>
          <w:sz w:val="20"/>
          <w:szCs w:val="20"/>
        </w:rPr>
        <w:t>.</w:t>
      </w:r>
    </w:p>
    <w:p w:rsidR="00784D17" w:rsidRPr="00784D17" w:rsidRDefault="00784D17" w:rsidP="00784D17">
      <w:pPr>
        <w:numPr>
          <w:ilvl w:val="0"/>
          <w:numId w:val="4"/>
        </w:numPr>
        <w:shd w:val="clear" w:color="auto" w:fill="FFFFFF"/>
        <w:spacing w:before="45" w:after="45" w:line="324" w:lineRule="auto"/>
        <w:rPr>
          <w:rFonts w:ascii="Arial" w:hAnsi="Arial" w:cs="Arial"/>
          <w:color w:val="505051"/>
          <w:sz w:val="20"/>
          <w:szCs w:val="20"/>
        </w:rPr>
      </w:pPr>
      <w:r w:rsidRPr="00784D17">
        <w:rPr>
          <w:rFonts w:ascii="Arial" w:hAnsi="Arial" w:cs="Arial"/>
          <w:b/>
          <w:color w:val="505051"/>
          <w:sz w:val="20"/>
          <w:szCs w:val="20"/>
        </w:rPr>
        <w:t>In patients with kidney failure or heart failure, as well as the elderly and adolescents</w:t>
      </w:r>
      <w:r w:rsidRPr="00784D17">
        <w:rPr>
          <w:rFonts w:ascii="Arial" w:hAnsi="Arial" w:cs="Arial"/>
          <w:color w:val="505051"/>
          <w:sz w:val="20"/>
          <w:szCs w:val="20"/>
        </w:rPr>
        <w:t>, the rate and volume of fluid replacement may need to be modified.</w:t>
      </w:r>
    </w:p>
    <w:p w:rsidR="00784D17" w:rsidRDefault="00784D17" w:rsidP="00784D17">
      <w:pPr>
        <w:numPr>
          <w:ilvl w:val="1"/>
          <w:numId w:val="4"/>
        </w:numPr>
        <w:shd w:val="clear" w:color="auto" w:fill="FFFFFF"/>
        <w:spacing w:before="45" w:after="45" w:line="324" w:lineRule="auto"/>
        <w:rPr>
          <w:rFonts w:ascii="Arial" w:hAnsi="Arial" w:cs="Arial"/>
          <w:color w:val="505051"/>
          <w:sz w:val="20"/>
          <w:szCs w:val="20"/>
        </w:rPr>
      </w:pPr>
      <w:r w:rsidRPr="00784D17">
        <w:rPr>
          <w:rFonts w:ascii="Arial" w:hAnsi="Arial" w:cs="Arial"/>
          <w:color w:val="505051"/>
          <w:sz w:val="20"/>
          <w:szCs w:val="20"/>
        </w:rPr>
        <w:t>For patients with kidney disease please discuss fluid replacement regimen with renal on call.</w:t>
      </w:r>
    </w:p>
    <w:p w:rsidR="00784D17" w:rsidRPr="00784D17" w:rsidRDefault="00784D17" w:rsidP="00784D17">
      <w:pPr>
        <w:numPr>
          <w:ilvl w:val="1"/>
          <w:numId w:val="4"/>
        </w:numPr>
        <w:shd w:val="clear" w:color="auto" w:fill="FFFFFF"/>
        <w:spacing w:before="45" w:after="45" w:line="324" w:lineRule="auto"/>
        <w:rPr>
          <w:rFonts w:ascii="Arial" w:hAnsi="Arial" w:cs="Arial"/>
          <w:color w:val="505051"/>
          <w:sz w:val="20"/>
          <w:szCs w:val="20"/>
        </w:rPr>
      </w:pPr>
      <w:r>
        <w:rPr>
          <w:rFonts w:ascii="Arial" w:hAnsi="Arial" w:cs="Arial"/>
          <w:color w:val="505051"/>
          <w:sz w:val="20"/>
          <w:szCs w:val="20"/>
        </w:rPr>
        <w:t>For adolescents management of DKA to be discussed with relevant paediatric staff</w:t>
      </w:r>
    </w:p>
    <w:p w:rsidR="00784D17" w:rsidRDefault="00784D17" w:rsidP="00784D17">
      <w:pPr>
        <w:shd w:val="clear" w:color="auto" w:fill="FFFFFF"/>
        <w:spacing w:before="45" w:after="45" w:line="324" w:lineRule="auto"/>
        <w:ind w:left="375"/>
        <w:rPr>
          <w:rFonts w:ascii="Arial" w:hAnsi="Arial" w:cs="Arial"/>
          <w:color w:val="505051"/>
          <w:sz w:val="20"/>
          <w:szCs w:val="20"/>
        </w:rPr>
      </w:pPr>
    </w:p>
    <w:p w:rsidR="009D2AA8" w:rsidRPr="00A07233" w:rsidRDefault="009D2AA8" w:rsidP="00A07233">
      <w:pPr>
        <w:jc w:val="both"/>
        <w:rPr>
          <w:rFonts w:ascii="Arial" w:hAnsi="Arial" w:cs="Arial"/>
          <w:b/>
          <w:bCs/>
        </w:rPr>
      </w:pPr>
      <w:r w:rsidRPr="00A07233">
        <w:rPr>
          <w:rFonts w:ascii="Arial" w:hAnsi="Arial" w:cs="Arial"/>
          <w:b/>
          <w:bCs/>
        </w:rPr>
        <w:t xml:space="preserve">Supplementary notes as per Care Pathway 4 hours – </w:t>
      </w:r>
      <w:proofErr w:type="gramStart"/>
      <w:r w:rsidRPr="00A07233">
        <w:rPr>
          <w:rFonts w:ascii="Arial" w:hAnsi="Arial" w:cs="Arial"/>
          <w:b/>
          <w:bCs/>
        </w:rPr>
        <w:t>discharge</w:t>
      </w:r>
      <w:proofErr w:type="gramEnd"/>
    </w:p>
    <w:p w:rsidR="009D2AA8" w:rsidRDefault="009D2AA8" w:rsidP="009D2AA8">
      <w:pPr>
        <w:numPr>
          <w:ilvl w:val="0"/>
          <w:numId w:val="5"/>
        </w:numPr>
        <w:shd w:val="clear" w:color="auto" w:fill="FFFFFF"/>
        <w:spacing w:before="45" w:after="45" w:line="324" w:lineRule="auto"/>
        <w:ind w:left="375"/>
        <w:rPr>
          <w:rFonts w:ascii="Arial" w:hAnsi="Arial" w:cs="Arial"/>
          <w:color w:val="505051"/>
          <w:sz w:val="20"/>
          <w:szCs w:val="20"/>
        </w:rPr>
      </w:pPr>
      <w:r>
        <w:rPr>
          <w:rStyle w:val="Strong"/>
          <w:rFonts w:ascii="Arial" w:hAnsi="Arial" w:cs="Arial"/>
          <w:color w:val="505051"/>
          <w:sz w:val="20"/>
          <w:szCs w:val="20"/>
        </w:rPr>
        <w:t>Consider precipitating factors:</w:t>
      </w:r>
      <w:r>
        <w:rPr>
          <w:rFonts w:ascii="Arial" w:hAnsi="Arial" w:cs="Arial"/>
          <w:color w:val="505051"/>
          <w:sz w:val="20"/>
          <w:szCs w:val="20"/>
        </w:rPr>
        <w:t xml:space="preserve"> </w:t>
      </w:r>
    </w:p>
    <w:p w:rsidR="009D2AA8" w:rsidRDefault="009D2AA8" w:rsidP="009D2AA8">
      <w:pPr>
        <w:numPr>
          <w:ilvl w:val="1"/>
          <w:numId w:val="5"/>
        </w:numPr>
        <w:shd w:val="clear" w:color="auto" w:fill="FFFFFF"/>
        <w:spacing w:before="45" w:after="45" w:line="324" w:lineRule="auto"/>
        <w:ind w:left="750"/>
        <w:rPr>
          <w:rFonts w:ascii="Arial" w:hAnsi="Arial" w:cs="Arial"/>
          <w:color w:val="505051"/>
          <w:sz w:val="20"/>
          <w:szCs w:val="20"/>
        </w:rPr>
      </w:pPr>
      <w:r>
        <w:rPr>
          <w:rFonts w:ascii="Arial" w:hAnsi="Arial" w:cs="Arial"/>
          <w:color w:val="505051"/>
          <w:sz w:val="20"/>
          <w:szCs w:val="20"/>
        </w:rPr>
        <w:t>Common causes include – omissions of insulin, infection, newly diagnosed diabetes, myocardial infarction or a combination of these factors.</w:t>
      </w:r>
    </w:p>
    <w:p w:rsidR="009D2AA8" w:rsidRDefault="009D2AA8" w:rsidP="009D2AA8">
      <w:pPr>
        <w:numPr>
          <w:ilvl w:val="1"/>
          <w:numId w:val="5"/>
        </w:numPr>
        <w:shd w:val="clear" w:color="auto" w:fill="FFFFFF"/>
        <w:spacing w:before="45" w:after="45" w:line="324" w:lineRule="auto"/>
        <w:ind w:left="750"/>
        <w:rPr>
          <w:rFonts w:ascii="Arial" w:hAnsi="Arial" w:cs="Arial"/>
          <w:color w:val="505051"/>
          <w:sz w:val="20"/>
          <w:szCs w:val="20"/>
        </w:rPr>
      </w:pPr>
      <w:r>
        <w:rPr>
          <w:rFonts w:ascii="Arial" w:hAnsi="Arial" w:cs="Arial"/>
          <w:color w:val="505051"/>
          <w:sz w:val="20"/>
          <w:szCs w:val="20"/>
        </w:rPr>
        <w:t xml:space="preserve">Some or all of the following may have contributed to the DKA episode – errors in insulin administration, faulty equipment, </w:t>
      </w:r>
      <w:proofErr w:type="gramStart"/>
      <w:r>
        <w:rPr>
          <w:rFonts w:ascii="Arial" w:hAnsi="Arial" w:cs="Arial"/>
          <w:color w:val="505051"/>
          <w:sz w:val="20"/>
          <w:szCs w:val="20"/>
        </w:rPr>
        <w:t>practical</w:t>
      </w:r>
      <w:proofErr w:type="gramEnd"/>
      <w:r>
        <w:rPr>
          <w:rFonts w:ascii="Arial" w:hAnsi="Arial" w:cs="Arial"/>
          <w:color w:val="505051"/>
          <w:sz w:val="20"/>
          <w:szCs w:val="20"/>
        </w:rPr>
        <w:t xml:space="preserve"> problems.</w:t>
      </w:r>
    </w:p>
    <w:p w:rsidR="009D2AA8" w:rsidRDefault="009D2AA8" w:rsidP="009D2AA8">
      <w:pPr>
        <w:numPr>
          <w:ilvl w:val="0"/>
          <w:numId w:val="5"/>
        </w:numPr>
        <w:shd w:val="clear" w:color="auto" w:fill="FFFFFF"/>
        <w:spacing w:before="45" w:after="45" w:line="324" w:lineRule="auto"/>
        <w:ind w:left="375"/>
        <w:rPr>
          <w:rFonts w:ascii="Arial" w:hAnsi="Arial" w:cs="Arial"/>
          <w:color w:val="505051"/>
          <w:sz w:val="20"/>
          <w:szCs w:val="20"/>
        </w:rPr>
      </w:pPr>
      <w:r>
        <w:rPr>
          <w:rStyle w:val="Strong"/>
          <w:rFonts w:ascii="Arial" w:hAnsi="Arial" w:cs="Arial"/>
          <w:color w:val="505051"/>
          <w:sz w:val="20"/>
          <w:szCs w:val="20"/>
        </w:rPr>
        <w:lastRenderedPageBreak/>
        <w:t>Refer for specialist diabetes review:</w:t>
      </w:r>
      <w:r>
        <w:rPr>
          <w:rFonts w:ascii="Arial" w:hAnsi="Arial" w:cs="Arial"/>
          <w:color w:val="505051"/>
          <w:sz w:val="20"/>
          <w:szCs w:val="20"/>
        </w:rPr>
        <w:t xml:space="preserve"> Whenever possible, all patients should be notified to the diabetes team within 12 hours of admission.</w:t>
      </w:r>
      <w:r w:rsidR="00A07233" w:rsidRPr="00A07233">
        <w:t xml:space="preserve"> </w:t>
      </w:r>
      <w:r w:rsidR="00A07233" w:rsidRPr="00A07233">
        <w:rPr>
          <w:rFonts w:ascii="Arial" w:hAnsi="Arial" w:cs="Arial"/>
          <w:color w:val="505051"/>
          <w:sz w:val="20"/>
          <w:szCs w:val="20"/>
        </w:rPr>
        <w:t>When the clinical condition has stabilised, consider the educational and emotional needs of the patient and carers.</w:t>
      </w:r>
    </w:p>
    <w:p w:rsidR="009D2AA8" w:rsidRDefault="009D2AA8" w:rsidP="009D2AA8">
      <w:pPr>
        <w:pStyle w:val="NormalWeb"/>
        <w:shd w:val="clear" w:color="auto" w:fill="FFFFFF"/>
        <w:rPr>
          <w:rFonts w:ascii="Arial" w:hAnsi="Arial" w:cs="Arial"/>
        </w:rPr>
      </w:pPr>
      <w:r>
        <w:rPr>
          <w:rStyle w:val="Emphasis"/>
          <w:rFonts w:ascii="Arial" w:hAnsi="Arial" w:cs="Arial"/>
        </w:rPr>
        <w:t>Ensure insulin is prescribed before patient leaves hospital. This must include the specific type of insulin, dose and appropriate device.</w:t>
      </w:r>
    </w:p>
    <w:p w:rsidR="00BF4105" w:rsidRPr="00A1415A" w:rsidRDefault="00BF4105" w:rsidP="00BF4105">
      <w:pPr>
        <w:jc w:val="both"/>
        <w:rPr>
          <w:rFonts w:ascii="Arial" w:hAnsi="Arial" w:cs="Arial"/>
        </w:rPr>
      </w:pPr>
    </w:p>
    <w:p w:rsidR="00BF4105" w:rsidRDefault="00BF4105" w:rsidP="00BF4105">
      <w:pPr>
        <w:pStyle w:val="ListParagraph"/>
        <w:rPr>
          <w:rFonts w:ascii="Arial" w:hAnsi="Arial" w:cs="Arial"/>
        </w:rPr>
      </w:pPr>
    </w:p>
    <w:p w:rsidR="00BF4105" w:rsidRDefault="00BF4105" w:rsidP="00BF4105">
      <w:pPr>
        <w:pStyle w:val="Heading4"/>
        <w:autoSpaceDE/>
        <w:autoSpaceDN/>
        <w:adjustRightInd/>
        <w:rPr>
          <w:sz w:val="24"/>
          <w:szCs w:val="24"/>
          <w:lang w:eastAsia="en-GB"/>
        </w:rPr>
      </w:pPr>
    </w:p>
    <w:p w:rsidR="00F34A6A" w:rsidRDefault="00F34A6A"/>
    <w:sectPr w:rsidR="00F34A6A" w:rsidSect="00F34A6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45B3B"/>
    <w:multiLevelType w:val="hybridMultilevel"/>
    <w:tmpl w:val="EBEEC9E6"/>
    <w:lvl w:ilvl="0" w:tplc="CDEEAFDA">
      <w:start w:val="1"/>
      <w:numFmt w:val="decimal"/>
      <w:lvlText w:val="%1."/>
      <w:lvlJc w:val="left"/>
      <w:pPr>
        <w:tabs>
          <w:tab w:val="num" w:pos="990"/>
        </w:tabs>
        <w:ind w:left="990" w:hanging="63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nsid w:val="4F5C4100"/>
    <w:multiLevelType w:val="hybridMultilevel"/>
    <w:tmpl w:val="4B1A9A02"/>
    <w:lvl w:ilvl="0" w:tplc="DD5A82A4">
      <w:start w:val="1"/>
      <w:numFmt w:val="decimal"/>
      <w:lvlText w:val="%1."/>
      <w:lvlJc w:val="left"/>
      <w:pPr>
        <w:tabs>
          <w:tab w:val="num" w:pos="1095"/>
        </w:tabs>
        <w:ind w:left="1095" w:hanging="735"/>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nsid w:val="66D372BA"/>
    <w:multiLevelType w:val="multilevel"/>
    <w:tmpl w:val="2946C5CC"/>
    <w:lvl w:ilvl="0">
      <w:start w:val="1"/>
      <w:numFmt w:val="decimal"/>
      <w:lvlText w:val="%1."/>
      <w:lvlJc w:val="left"/>
      <w:pPr>
        <w:tabs>
          <w:tab w:val="num" w:pos="375"/>
        </w:tabs>
        <w:ind w:left="375" w:hanging="360"/>
      </w:pPr>
    </w:lvl>
    <w:lvl w:ilvl="1">
      <w:start w:val="1"/>
      <w:numFmt w:val="decimal"/>
      <w:lvlText w:val="%2."/>
      <w:lvlJc w:val="left"/>
      <w:pPr>
        <w:tabs>
          <w:tab w:val="num" w:pos="1095"/>
        </w:tabs>
        <w:ind w:left="1095" w:hanging="360"/>
      </w:pPr>
    </w:lvl>
    <w:lvl w:ilvl="2" w:tentative="1">
      <w:start w:val="1"/>
      <w:numFmt w:val="decimal"/>
      <w:lvlText w:val="%3."/>
      <w:lvlJc w:val="left"/>
      <w:pPr>
        <w:tabs>
          <w:tab w:val="num" w:pos="1815"/>
        </w:tabs>
        <w:ind w:left="1815" w:hanging="360"/>
      </w:pPr>
    </w:lvl>
    <w:lvl w:ilvl="3" w:tentative="1">
      <w:start w:val="1"/>
      <w:numFmt w:val="decimal"/>
      <w:lvlText w:val="%4."/>
      <w:lvlJc w:val="left"/>
      <w:pPr>
        <w:tabs>
          <w:tab w:val="num" w:pos="2535"/>
        </w:tabs>
        <w:ind w:left="2535" w:hanging="360"/>
      </w:pPr>
    </w:lvl>
    <w:lvl w:ilvl="4" w:tentative="1">
      <w:start w:val="1"/>
      <w:numFmt w:val="decimal"/>
      <w:lvlText w:val="%5."/>
      <w:lvlJc w:val="left"/>
      <w:pPr>
        <w:tabs>
          <w:tab w:val="num" w:pos="3255"/>
        </w:tabs>
        <w:ind w:left="3255" w:hanging="360"/>
      </w:pPr>
    </w:lvl>
    <w:lvl w:ilvl="5" w:tentative="1">
      <w:start w:val="1"/>
      <w:numFmt w:val="decimal"/>
      <w:lvlText w:val="%6."/>
      <w:lvlJc w:val="left"/>
      <w:pPr>
        <w:tabs>
          <w:tab w:val="num" w:pos="3975"/>
        </w:tabs>
        <w:ind w:left="3975" w:hanging="360"/>
      </w:pPr>
    </w:lvl>
    <w:lvl w:ilvl="6" w:tentative="1">
      <w:start w:val="1"/>
      <w:numFmt w:val="decimal"/>
      <w:lvlText w:val="%7."/>
      <w:lvlJc w:val="left"/>
      <w:pPr>
        <w:tabs>
          <w:tab w:val="num" w:pos="4695"/>
        </w:tabs>
        <w:ind w:left="4695" w:hanging="360"/>
      </w:pPr>
    </w:lvl>
    <w:lvl w:ilvl="7" w:tentative="1">
      <w:start w:val="1"/>
      <w:numFmt w:val="decimal"/>
      <w:lvlText w:val="%8."/>
      <w:lvlJc w:val="left"/>
      <w:pPr>
        <w:tabs>
          <w:tab w:val="num" w:pos="5415"/>
        </w:tabs>
        <w:ind w:left="5415" w:hanging="360"/>
      </w:pPr>
    </w:lvl>
    <w:lvl w:ilvl="8" w:tentative="1">
      <w:start w:val="1"/>
      <w:numFmt w:val="decimal"/>
      <w:lvlText w:val="%9."/>
      <w:lvlJc w:val="left"/>
      <w:pPr>
        <w:tabs>
          <w:tab w:val="num" w:pos="6135"/>
        </w:tabs>
        <w:ind w:left="6135" w:hanging="360"/>
      </w:pPr>
    </w:lvl>
  </w:abstractNum>
  <w:abstractNum w:abstractNumId="3">
    <w:nsid w:val="677C566E"/>
    <w:multiLevelType w:val="multilevel"/>
    <w:tmpl w:val="27EA8F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5F9144D"/>
    <w:multiLevelType w:val="hybridMultilevel"/>
    <w:tmpl w:val="19624A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F4105"/>
    <w:rsid w:val="00376BEF"/>
    <w:rsid w:val="0048568B"/>
    <w:rsid w:val="007466B6"/>
    <w:rsid w:val="00784D17"/>
    <w:rsid w:val="007F0808"/>
    <w:rsid w:val="009254F0"/>
    <w:rsid w:val="009D2AA8"/>
    <w:rsid w:val="00A07233"/>
    <w:rsid w:val="00B67215"/>
    <w:rsid w:val="00BF4105"/>
    <w:rsid w:val="00F34A6A"/>
    <w:rsid w:val="00F841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105"/>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9"/>
    <w:qFormat/>
    <w:rsid w:val="00BF4105"/>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BF4105"/>
    <w:pPr>
      <w:keepNext/>
      <w:autoSpaceDE w:val="0"/>
      <w:autoSpaceDN w:val="0"/>
      <w:adjustRightInd w:val="0"/>
      <w:jc w:val="both"/>
      <w:outlineLvl w:val="3"/>
    </w:pPr>
    <w:rPr>
      <w:rFonts w:ascii="Arial" w:hAnsi="Arial" w:cs="Arial"/>
      <w:sz w:val="20"/>
      <w:szCs w:val="20"/>
      <w:u w:val="single"/>
      <w:lang w:eastAsia="pl-PL"/>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F4105"/>
    <w:rPr>
      <w:rFonts w:ascii="Arial" w:eastAsia="Times New Roman" w:hAnsi="Arial" w:cs="Arial"/>
      <w:b/>
      <w:bCs/>
      <w:i/>
      <w:iCs/>
      <w:sz w:val="28"/>
      <w:szCs w:val="28"/>
      <w:lang w:eastAsia="en-GB"/>
    </w:rPr>
  </w:style>
  <w:style w:type="character" w:customStyle="1" w:styleId="Heading4Char">
    <w:name w:val="Heading 4 Char"/>
    <w:basedOn w:val="DefaultParagraphFont"/>
    <w:link w:val="Heading4"/>
    <w:uiPriority w:val="99"/>
    <w:rsid w:val="00BF4105"/>
    <w:rPr>
      <w:rFonts w:ascii="Arial" w:eastAsia="Times New Roman" w:hAnsi="Arial" w:cs="Arial"/>
      <w:sz w:val="20"/>
      <w:szCs w:val="20"/>
      <w:u w:val="single"/>
      <w:lang w:eastAsia="pl-PL"/>
    </w:rPr>
  </w:style>
  <w:style w:type="paragraph" w:styleId="BodyText3">
    <w:name w:val="Body Text 3"/>
    <w:basedOn w:val="Normal"/>
    <w:link w:val="BodyText3Char"/>
    <w:uiPriority w:val="99"/>
    <w:rsid w:val="00BF4105"/>
    <w:pPr>
      <w:spacing w:after="120"/>
    </w:pPr>
    <w:rPr>
      <w:sz w:val="16"/>
      <w:szCs w:val="16"/>
      <w:lang w:eastAsia="en-US"/>
    </w:rPr>
  </w:style>
  <w:style w:type="character" w:customStyle="1" w:styleId="BodyText3Char">
    <w:name w:val="Body Text 3 Char"/>
    <w:basedOn w:val="DefaultParagraphFont"/>
    <w:link w:val="BodyText3"/>
    <w:uiPriority w:val="99"/>
    <w:rsid w:val="00BF4105"/>
    <w:rPr>
      <w:rFonts w:ascii="Times New Roman" w:eastAsia="Times New Roman" w:hAnsi="Times New Roman" w:cs="Times New Roman"/>
      <w:sz w:val="16"/>
      <w:szCs w:val="16"/>
    </w:rPr>
  </w:style>
  <w:style w:type="character" w:styleId="Hyperlink">
    <w:name w:val="Hyperlink"/>
    <w:basedOn w:val="DefaultParagraphFont"/>
    <w:uiPriority w:val="99"/>
    <w:rsid w:val="00BF4105"/>
    <w:rPr>
      <w:color w:val="0000FF"/>
      <w:u w:val="single"/>
    </w:rPr>
  </w:style>
  <w:style w:type="paragraph" w:styleId="ListParagraph">
    <w:name w:val="List Paragraph"/>
    <w:basedOn w:val="Normal"/>
    <w:uiPriority w:val="99"/>
    <w:qFormat/>
    <w:rsid w:val="00BF4105"/>
    <w:pPr>
      <w:ind w:left="720"/>
    </w:pPr>
  </w:style>
  <w:style w:type="character" w:styleId="FollowedHyperlink">
    <w:name w:val="FollowedHyperlink"/>
    <w:basedOn w:val="DefaultParagraphFont"/>
    <w:uiPriority w:val="99"/>
    <w:semiHidden/>
    <w:unhideWhenUsed/>
    <w:rsid w:val="00BF4105"/>
    <w:rPr>
      <w:color w:val="800080" w:themeColor="followedHyperlink"/>
      <w:u w:val="single"/>
    </w:rPr>
  </w:style>
  <w:style w:type="character" w:styleId="Strong">
    <w:name w:val="Strong"/>
    <w:basedOn w:val="DefaultParagraphFont"/>
    <w:uiPriority w:val="22"/>
    <w:qFormat/>
    <w:rsid w:val="009D2AA8"/>
    <w:rPr>
      <w:b/>
      <w:bCs/>
    </w:rPr>
  </w:style>
  <w:style w:type="paragraph" w:styleId="NormalWeb">
    <w:name w:val="Normal (Web)"/>
    <w:basedOn w:val="Normal"/>
    <w:uiPriority w:val="99"/>
    <w:semiHidden/>
    <w:unhideWhenUsed/>
    <w:rsid w:val="009D2AA8"/>
    <w:pPr>
      <w:spacing w:after="150" w:line="324" w:lineRule="auto"/>
    </w:pPr>
    <w:rPr>
      <w:color w:val="505051"/>
      <w:sz w:val="20"/>
      <w:szCs w:val="20"/>
    </w:rPr>
  </w:style>
  <w:style w:type="character" w:styleId="Emphasis">
    <w:name w:val="Emphasis"/>
    <w:basedOn w:val="DefaultParagraphFont"/>
    <w:uiPriority w:val="20"/>
    <w:qFormat/>
    <w:rsid w:val="009D2AA8"/>
    <w:rPr>
      <w:i/>
      <w:iCs/>
    </w:rPr>
  </w:style>
  <w:style w:type="character" w:customStyle="1" w:styleId="bold1">
    <w:name w:val="bold1"/>
    <w:basedOn w:val="DefaultParagraphFont"/>
    <w:rsid w:val="009D2AA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iabetes-scotland.org/ggc/html_pages/protocol.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5254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Kernoan354</dc:creator>
  <cp:lastModifiedBy>Kernoan354</cp:lastModifiedBy>
  <cp:revision>2</cp:revision>
  <dcterms:created xsi:type="dcterms:W3CDTF">2017-05-05T13:35:00Z</dcterms:created>
  <dcterms:modified xsi:type="dcterms:W3CDTF">2017-05-05T13:35:00Z</dcterms:modified>
</cp:coreProperties>
</file>