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Citywide, Urology, CT Proposed Rota, STR, Resident. No monitoring.</w:t>
      </w:r>
    </w:p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</w:t>
      </w:r>
      <w:r>
        <w:rPr>
          <w:rFonts w:ascii="Arial" w:hAnsi="Arial" w:cs="Arial"/>
          <w:color w:val="000000"/>
          <w:sz w:val="16"/>
          <w:szCs w:val="16"/>
        </w:rPr>
        <w:t>l shift, partial shift or hybrid</w:t>
      </w:r>
    </w:p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(.285) and less than 1 weekend in 3 (1 in 4.00)</w:t>
      </w:r>
    </w:p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</w:t>
      </w:r>
      <w:r>
        <w:rPr>
          <w:rFonts w:ascii="Arial" w:hAnsi="Arial" w:cs="Arial"/>
          <w:color w:val="000000"/>
          <w:sz w:val="16"/>
          <w:szCs w:val="16"/>
        </w:rPr>
        <w:t>al work pattern. It is particularly important to remember this if a theoretical work pattern is close to the limits of a particular payband. Differences between calculated prospective cover and actual work done by doctors to cover absent colleagues can als</w:t>
      </w:r>
      <w:r>
        <w:rPr>
          <w:rFonts w:ascii="Arial" w:hAnsi="Arial" w:cs="Arial"/>
          <w:color w:val="000000"/>
          <w:sz w:val="16"/>
          <w:szCs w:val="16"/>
        </w:rPr>
        <w:t>o cause a variance between theoretical and monitored bands.</w:t>
      </w:r>
    </w:p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- 68 days/annum for 8 doctors = 544 days/annum</w:t>
      </w:r>
    </w:p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544 days/a</w:t>
      </w:r>
      <w:r>
        <w:rPr>
          <w:rFonts w:ascii="Arial" w:hAnsi="Arial" w:cs="Arial"/>
          <w:color w:val="000000"/>
          <w:sz w:val="16"/>
          <w:szCs w:val="16"/>
        </w:rPr>
        <w:t>nnum</w:t>
      </w:r>
    </w:p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8 doctors this is 68 days/annum each (13.6 wks/annum each)</w:t>
      </w:r>
    </w:p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45:00 per week.</w:t>
      </w:r>
    </w:p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45 (the hours in the normal working week)</w:t>
      </w:r>
    </w:p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09:00 hours has been added to the duty and work hours</w:t>
      </w:r>
    </w:p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>52-Hol wks)</w:t>
      </w:r>
    </w:p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( 2970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*52 - 13.6 * 270</w:t>
      </w:r>
      <w:r>
        <w:rPr>
          <w:rFonts w:ascii="Arial" w:hAnsi="Arial" w:cs="Arial"/>
          <w:color w:val="000000"/>
          <w:sz w:val="16"/>
          <w:szCs w:val="16"/>
        </w:rPr>
        <w:t>0)/(52 - 13.6) =  3065.62 = 51:06</w:t>
      </w:r>
    </w:p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( 2970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*52 - 13.6 * 2700)/(52 - 13.6) =  3065.62 = 51:06</w:t>
      </w:r>
    </w:p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51:06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51:06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 w:rsidTr="001218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 w:rsidTr="001218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47:52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A/l removed as per CEL 14 (2009)</w:t>
            </w:r>
          </w:p>
        </w:tc>
      </w:tr>
      <w:tr w:rsidR="00000000" w:rsidTr="001218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1218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177 days</w:t>
      </w:r>
    </w:p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117 assuming that 60 of these days wil</w:t>
      </w:r>
      <w:r>
        <w:rPr>
          <w:rFonts w:ascii="Arial" w:hAnsi="Arial" w:cs="Arial"/>
          <w:color w:val="000000"/>
          <w:sz w:val="16"/>
          <w:szCs w:val="16"/>
        </w:rPr>
        <w:t>l be taken as leave</w:t>
      </w:r>
    </w:p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2.25 days per week.</w:t>
      </w:r>
    </w:p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Yasmin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Ahmed-Little and Matthew Bluck in "The British Journal of Health Care Management" 2006, Vol. 12, No. 12 for details of the c</w:t>
      </w:r>
      <w:r>
        <w:rPr>
          <w:rFonts w:ascii="Arial" w:hAnsi="Arial" w:cs="Arial"/>
          <w:color w:val="000000"/>
          <w:sz w:val="16"/>
          <w:szCs w:val="16"/>
        </w:rPr>
        <w:t>alculation and its implications.</w:t>
      </w:r>
    </w:p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GRI LD</w:t>
            </w:r>
          </w:p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GRI LD</w:t>
            </w:r>
          </w:p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GRI LD</w:t>
            </w:r>
          </w:p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GRI LD</w:t>
            </w:r>
          </w:p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GRI LD</w:t>
            </w:r>
          </w:p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GRI LD</w:t>
            </w:r>
          </w:p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GRI LD</w:t>
            </w:r>
          </w:p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SGH LD</w:t>
            </w:r>
          </w:p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SGH LD</w:t>
            </w:r>
          </w:p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SGH LD</w:t>
            </w:r>
          </w:p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SGH LD</w:t>
            </w:r>
          </w:p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SGH Fri LD</w:t>
            </w:r>
          </w:p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Half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SGH LD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GRI LD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SGH Fri LD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Half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2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21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12180F" w:rsidP="00F61269">
      <w:pPr>
        <w:spacing w:after="0" w:line="240" w:lineRule="auto"/>
      </w:pPr>
      <w:r>
        <w:separator/>
      </w:r>
    </w:p>
  </w:endnote>
  <w:endnote w:type="continuationSeparator" w:id="0">
    <w:p w:rsidR="00000000" w:rsidRDefault="0012180F" w:rsidP="00F6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180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3.1.0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29 Oct 2015 13:41. By: </w:t>
    </w:r>
    <w:proofErr w:type="spellStart"/>
    <w:r>
      <w:rPr>
        <w:rFonts w:ascii="Arial" w:hAnsi="Arial" w:cs="Arial"/>
        <w:color w:val="000000"/>
        <w:sz w:val="20"/>
        <w:szCs w:val="20"/>
      </w:rPr>
      <w:t>andy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</w:t>
    </w:r>
    <w:proofErr w:type="gramStart"/>
    <w:r>
      <w:rPr>
        <w:rFonts w:ascii="Arial" w:hAnsi="Arial" w:cs="Arial"/>
        <w:color w:val="000000"/>
        <w:sz w:val="20"/>
        <w:szCs w:val="20"/>
      </w:rPr>
      <w:t>trench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12180F" w:rsidP="00F61269">
      <w:pPr>
        <w:spacing w:after="0" w:line="240" w:lineRule="auto"/>
      </w:pPr>
      <w:r>
        <w:separator/>
      </w:r>
    </w:p>
  </w:footnote>
  <w:footnote w:type="continuationSeparator" w:id="0">
    <w:p w:rsidR="00000000" w:rsidRDefault="0012180F" w:rsidP="00F61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180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80F"/>
    <w:rsid w:val="0012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828</Words>
  <Characters>3756</Characters>
  <Application>Microsoft Office Word</Application>
  <DocSecurity>0</DocSecurity>
  <Lines>31</Lines>
  <Paragraphs>9</Paragraphs>
  <ScaleCrop>false</ScaleCrop>
  <Company>NHS Greater Glasgow and Clyde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Trench</dc:creator>
  <cp:lastModifiedBy>Andy Trench</cp:lastModifiedBy>
  <cp:revision>2</cp:revision>
  <dcterms:created xsi:type="dcterms:W3CDTF">2015-10-29T13:46:00Z</dcterms:created>
  <dcterms:modified xsi:type="dcterms:W3CDTF">2015-10-29T13:46:00Z</dcterms:modified>
</cp:coreProperties>
</file>